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0" w:type="dxa"/>
        <w:tblCellMar>
          <w:left w:w="70" w:type="dxa"/>
          <w:right w:w="70" w:type="dxa"/>
        </w:tblCellMar>
        <w:tblLook w:val="04A0" w:firstRow="1" w:lastRow="0" w:firstColumn="1" w:lastColumn="0" w:noHBand="0" w:noVBand="1"/>
      </w:tblPr>
      <w:tblGrid>
        <w:gridCol w:w="6390"/>
        <w:gridCol w:w="3533"/>
      </w:tblGrid>
      <w:tr w:rsidR="002F60F2">
        <w:trPr>
          <w:trHeight w:val="875"/>
        </w:trPr>
        <w:tc>
          <w:tcPr>
            <w:tcW w:w="6390" w:type="dxa"/>
          </w:tcPr>
          <w:p w:rsidR="00835CF2" w:rsidRPr="00835CF2" w:rsidRDefault="00835CF2" w:rsidP="00835CF2">
            <w:pPr>
              <w:spacing w:after="200" w:line="276" w:lineRule="auto"/>
              <w:rPr>
                <w:rFonts w:eastAsiaTheme="minorHAnsi" w:cstheme="minorBidi"/>
                <w:lang w:val="en-US"/>
              </w:rPr>
            </w:pPr>
            <w:proofErr w:type="spellStart"/>
            <w:r w:rsidRPr="00835CF2">
              <w:rPr>
                <w:rFonts w:eastAsiaTheme="minorHAnsi" w:cstheme="minorBidi"/>
                <w:color w:val="222222"/>
                <w:szCs w:val="21"/>
                <w:shd w:val="clear" w:color="auto" w:fill="FFFFFF"/>
                <w:lang w:val="en-US"/>
              </w:rPr>
              <w:t>Utenriksdepartementet</w:t>
            </w:r>
            <w:proofErr w:type="spellEnd"/>
            <w:r w:rsidRPr="00835CF2">
              <w:rPr>
                <w:rFonts w:eastAsiaTheme="minorHAnsi" w:cstheme="minorBidi"/>
                <w:color w:val="222222"/>
                <w:lang w:val="en-US"/>
              </w:rPr>
              <w:t> </w:t>
            </w:r>
            <w:r w:rsidRPr="00835CF2">
              <w:rPr>
                <w:rFonts w:eastAsiaTheme="minorHAnsi" w:cstheme="minorBidi"/>
                <w:color w:val="222222"/>
                <w:szCs w:val="21"/>
                <w:lang w:val="en-US"/>
              </w:rPr>
              <w:br/>
            </w:r>
            <w:proofErr w:type="spellStart"/>
            <w:r w:rsidRPr="00835CF2">
              <w:rPr>
                <w:rFonts w:eastAsiaTheme="minorHAnsi" w:cstheme="minorBidi"/>
                <w:color w:val="222222"/>
                <w:szCs w:val="21"/>
                <w:shd w:val="clear" w:color="auto" w:fill="FFFFFF"/>
                <w:lang w:val="en-US"/>
              </w:rPr>
              <w:t>Postboks</w:t>
            </w:r>
            <w:proofErr w:type="spellEnd"/>
            <w:r w:rsidRPr="00835CF2">
              <w:rPr>
                <w:rFonts w:eastAsiaTheme="minorHAnsi" w:cstheme="minorBidi"/>
                <w:color w:val="222222"/>
                <w:szCs w:val="21"/>
                <w:shd w:val="clear" w:color="auto" w:fill="FFFFFF"/>
                <w:lang w:val="en-US"/>
              </w:rPr>
              <w:t xml:space="preserve"> 8114 Dep.</w:t>
            </w:r>
            <w:r w:rsidRPr="00835CF2">
              <w:rPr>
                <w:rFonts w:eastAsiaTheme="minorHAnsi" w:cstheme="minorBidi"/>
                <w:color w:val="222222"/>
                <w:szCs w:val="21"/>
                <w:lang w:val="en-US"/>
              </w:rPr>
              <w:br w:type="textWrapping" w:clear="all"/>
            </w:r>
            <w:r w:rsidRPr="00835CF2">
              <w:rPr>
                <w:rFonts w:eastAsiaTheme="minorHAnsi" w:cstheme="minorBidi"/>
                <w:color w:val="222222"/>
                <w:szCs w:val="21"/>
                <w:shd w:val="clear" w:color="auto" w:fill="FFFFFF"/>
                <w:lang w:val="en-US"/>
              </w:rPr>
              <w:t>N-0032 OSLO</w:t>
            </w:r>
          </w:p>
          <w:p w:rsidR="0023510F" w:rsidRPr="00AC6F43" w:rsidRDefault="0023510F" w:rsidP="00211FD4">
            <w:pPr>
              <w:tabs>
                <w:tab w:val="left" w:pos="7920"/>
              </w:tabs>
              <w:jc w:val="both"/>
              <w:rPr>
                <w:b/>
                <w:bCs/>
                <w:sz w:val="24"/>
                <w:szCs w:val="24"/>
              </w:rPr>
            </w:pPr>
          </w:p>
        </w:tc>
        <w:tc>
          <w:tcPr>
            <w:tcW w:w="3533" w:type="dxa"/>
          </w:tcPr>
          <w:p w:rsidR="002F60F2" w:rsidRPr="00211FD4" w:rsidRDefault="002F60F2">
            <w:pPr>
              <w:tabs>
                <w:tab w:val="left" w:pos="7380"/>
              </w:tabs>
              <w:spacing w:line="0" w:lineRule="atLeast"/>
              <w:jc w:val="both"/>
              <w:rPr>
                <w:b/>
                <w:bCs/>
              </w:rPr>
            </w:pPr>
            <w:r w:rsidRPr="00211FD4">
              <w:rPr>
                <w:b/>
                <w:bCs/>
              </w:rPr>
              <w:t xml:space="preserve">Oslo, </w:t>
            </w:r>
            <w:r w:rsidR="00C62A4C" w:rsidRPr="00211FD4">
              <w:rPr>
                <w:b/>
                <w:bCs/>
              </w:rPr>
              <w:fldChar w:fldCharType="begin"/>
            </w:r>
            <w:r w:rsidRPr="00211FD4">
              <w:rPr>
                <w:b/>
                <w:bCs/>
              </w:rPr>
              <w:instrText xml:space="preserve"> TIME \@ "dddd, d. MMMM yyyy" </w:instrText>
            </w:r>
            <w:r w:rsidR="00C62A4C" w:rsidRPr="00211FD4">
              <w:rPr>
                <w:b/>
                <w:bCs/>
              </w:rPr>
              <w:fldChar w:fldCharType="separate"/>
            </w:r>
            <w:r w:rsidR="00650599">
              <w:rPr>
                <w:b/>
                <w:bCs/>
                <w:noProof/>
              </w:rPr>
              <w:t>fredag, 28. september 2012</w:t>
            </w:r>
            <w:r w:rsidR="00C62A4C" w:rsidRPr="00211FD4">
              <w:rPr>
                <w:b/>
                <w:bCs/>
              </w:rPr>
              <w:fldChar w:fldCharType="end"/>
            </w:r>
          </w:p>
          <w:p w:rsidR="002F60F2" w:rsidRDefault="002F60F2">
            <w:pPr>
              <w:tabs>
                <w:tab w:val="left" w:pos="7380"/>
              </w:tabs>
              <w:spacing w:line="0" w:lineRule="atLeast"/>
              <w:jc w:val="both"/>
            </w:pPr>
            <w:r w:rsidRPr="00211FD4">
              <w:t xml:space="preserve">Vår ref.: </w:t>
            </w:r>
            <w:r w:rsidR="001D2126">
              <w:t>915/HLB</w:t>
            </w:r>
          </w:p>
          <w:p w:rsidR="00AC6F43" w:rsidRPr="00211FD4" w:rsidRDefault="00AC6F43">
            <w:pPr>
              <w:tabs>
                <w:tab w:val="left" w:pos="7380"/>
              </w:tabs>
              <w:spacing w:line="0" w:lineRule="atLeast"/>
              <w:jc w:val="both"/>
            </w:pPr>
            <w:r>
              <w:t xml:space="preserve">Deres ref. </w:t>
            </w:r>
            <w:r w:rsidRPr="00AC6F43">
              <w:rPr>
                <w:szCs w:val="33"/>
              </w:rPr>
              <w:t>11/03504</w:t>
            </w:r>
          </w:p>
          <w:p w:rsidR="002F60F2" w:rsidRDefault="002F60F2" w:rsidP="001D2126">
            <w:pPr>
              <w:tabs>
                <w:tab w:val="left" w:pos="7380"/>
              </w:tabs>
              <w:spacing w:line="0" w:lineRule="atLeast"/>
              <w:jc w:val="both"/>
              <w:rPr>
                <w:b/>
                <w:bCs/>
                <w:sz w:val="24"/>
                <w:szCs w:val="24"/>
              </w:rPr>
            </w:pPr>
          </w:p>
        </w:tc>
      </w:tr>
    </w:tbl>
    <w:p w:rsidR="00BA1A38" w:rsidRPr="00D315FB" w:rsidRDefault="00BA1A38" w:rsidP="00BA1A38">
      <w:pPr>
        <w:rPr>
          <w:b/>
          <w:sz w:val="24"/>
          <w:szCs w:val="24"/>
        </w:rPr>
      </w:pPr>
      <w:r w:rsidRPr="00D315FB">
        <w:rPr>
          <w:b/>
          <w:sz w:val="24"/>
          <w:szCs w:val="24"/>
        </w:rPr>
        <w:t xml:space="preserve">Høring – valgfri protokoll til FNs torturkonvensjon </w:t>
      </w:r>
    </w:p>
    <w:p w:rsidR="00BA1A38" w:rsidRPr="00D315FB" w:rsidRDefault="00BA1A38" w:rsidP="00BA1A38">
      <w:pPr>
        <w:rPr>
          <w:b/>
          <w:sz w:val="24"/>
          <w:szCs w:val="24"/>
        </w:rPr>
      </w:pPr>
    </w:p>
    <w:p w:rsidR="00BA1A38" w:rsidRPr="00D315FB" w:rsidRDefault="00AC6F43" w:rsidP="00BA1A38">
      <w:pPr>
        <w:rPr>
          <w:sz w:val="24"/>
          <w:szCs w:val="24"/>
        </w:rPr>
      </w:pPr>
      <w:r>
        <w:rPr>
          <w:sz w:val="24"/>
          <w:szCs w:val="24"/>
        </w:rPr>
        <w:t>Det vises til</w:t>
      </w:r>
      <w:r w:rsidR="00442E85">
        <w:rPr>
          <w:sz w:val="24"/>
          <w:szCs w:val="24"/>
        </w:rPr>
        <w:t xml:space="preserve"> høringsbrev av 20.06.2012</w:t>
      </w:r>
      <w:r w:rsidR="001556AB">
        <w:rPr>
          <w:sz w:val="24"/>
          <w:szCs w:val="24"/>
        </w:rPr>
        <w:t>, og</w:t>
      </w:r>
      <w:r w:rsidR="000F1D91">
        <w:rPr>
          <w:sz w:val="24"/>
          <w:szCs w:val="24"/>
        </w:rPr>
        <w:t xml:space="preserve"> telefonsamtale med</w:t>
      </w:r>
      <w:r w:rsidR="00DC3A8B">
        <w:rPr>
          <w:sz w:val="24"/>
          <w:szCs w:val="24"/>
        </w:rPr>
        <w:t xml:space="preserve"> Guro Camerer</w:t>
      </w:r>
      <w:r w:rsidR="000F1D91">
        <w:rPr>
          <w:sz w:val="24"/>
          <w:szCs w:val="24"/>
        </w:rPr>
        <w:t xml:space="preserve"> den </w:t>
      </w:r>
      <w:r w:rsidR="00E26954">
        <w:rPr>
          <w:sz w:val="24"/>
          <w:szCs w:val="24"/>
        </w:rPr>
        <w:t>05.09.2012</w:t>
      </w:r>
      <w:r w:rsidR="000F1D91">
        <w:rPr>
          <w:sz w:val="24"/>
          <w:szCs w:val="24"/>
        </w:rPr>
        <w:t xml:space="preserve">, </w:t>
      </w:r>
      <w:r w:rsidR="001556AB">
        <w:rPr>
          <w:sz w:val="24"/>
          <w:szCs w:val="24"/>
        </w:rPr>
        <w:t xml:space="preserve">da </w:t>
      </w:r>
      <w:r w:rsidR="00E26954">
        <w:rPr>
          <w:sz w:val="24"/>
          <w:szCs w:val="24"/>
        </w:rPr>
        <w:t>Juss-Buss</w:t>
      </w:r>
      <w:r w:rsidR="001556AB">
        <w:rPr>
          <w:sz w:val="24"/>
          <w:szCs w:val="24"/>
        </w:rPr>
        <w:t xml:space="preserve"> </w:t>
      </w:r>
      <w:r w:rsidR="000F1D91">
        <w:rPr>
          <w:sz w:val="24"/>
          <w:szCs w:val="24"/>
        </w:rPr>
        <w:t>fikk utsatt frist</w:t>
      </w:r>
      <w:r w:rsidR="00442E85">
        <w:rPr>
          <w:sz w:val="24"/>
          <w:szCs w:val="24"/>
        </w:rPr>
        <w:t xml:space="preserve"> til 28. september</w:t>
      </w:r>
      <w:r w:rsidR="002576CF">
        <w:rPr>
          <w:sz w:val="24"/>
          <w:szCs w:val="24"/>
        </w:rPr>
        <w:t xml:space="preserve"> til å komme med vår uttalelse.</w:t>
      </w:r>
      <w:r w:rsidR="00442E85">
        <w:rPr>
          <w:sz w:val="24"/>
          <w:szCs w:val="24"/>
        </w:rPr>
        <w:t xml:space="preserve"> Juss-Buss takker for dette og</w:t>
      </w:r>
      <w:r w:rsidR="00DC3A8B">
        <w:rPr>
          <w:sz w:val="24"/>
          <w:szCs w:val="24"/>
        </w:rPr>
        <w:t xml:space="preserve"> for tilliten som høringsinstans</w:t>
      </w:r>
      <w:r w:rsidR="00442E85">
        <w:rPr>
          <w:sz w:val="24"/>
          <w:szCs w:val="24"/>
        </w:rPr>
        <w:t xml:space="preserve">. </w:t>
      </w:r>
    </w:p>
    <w:p w:rsidR="00BA1A38" w:rsidRPr="00D315FB" w:rsidRDefault="00BA1A38" w:rsidP="00BA1A38">
      <w:pPr>
        <w:rPr>
          <w:b/>
          <w:sz w:val="24"/>
          <w:szCs w:val="24"/>
        </w:rPr>
      </w:pPr>
    </w:p>
    <w:p w:rsidR="00BA1A38" w:rsidRPr="00D315FB" w:rsidRDefault="00BA1A38" w:rsidP="00BA1A38">
      <w:pPr>
        <w:rPr>
          <w:b/>
          <w:sz w:val="24"/>
          <w:szCs w:val="24"/>
        </w:rPr>
      </w:pPr>
      <w:r w:rsidRPr="00D315FB">
        <w:rPr>
          <w:b/>
          <w:sz w:val="24"/>
          <w:szCs w:val="24"/>
        </w:rPr>
        <w:t>1. Innledning</w:t>
      </w:r>
    </w:p>
    <w:p w:rsidR="00BA1A38" w:rsidRPr="00D315FB" w:rsidRDefault="00BA1A38" w:rsidP="00BA1A38">
      <w:pPr>
        <w:tabs>
          <w:tab w:val="left" w:pos="7380"/>
        </w:tabs>
        <w:spacing w:line="276" w:lineRule="auto"/>
        <w:rPr>
          <w:bCs/>
          <w:sz w:val="24"/>
          <w:szCs w:val="24"/>
        </w:rPr>
      </w:pPr>
      <w:r w:rsidRPr="00D315FB">
        <w:rPr>
          <w:bCs/>
          <w:sz w:val="24"/>
          <w:szCs w:val="24"/>
        </w:rPr>
        <w:t xml:space="preserve">Juss-Buss er en frivillig rettshjelpsorganisasjon drevet av studenter tilknyttet Universitetet i Oslo. Juss-Buss har over 50 saksmottak i fengsel hvert år og tar årlig i mot </w:t>
      </w:r>
      <w:r w:rsidR="001556AB">
        <w:rPr>
          <w:bCs/>
          <w:sz w:val="24"/>
          <w:szCs w:val="24"/>
        </w:rPr>
        <w:t>over 500</w:t>
      </w:r>
      <w:r w:rsidRPr="00D315FB">
        <w:rPr>
          <w:bCs/>
          <w:sz w:val="24"/>
          <w:szCs w:val="24"/>
        </w:rPr>
        <w:t xml:space="preserve"> henvendelser vedrørende fengselsrett og straffegjennomføring. </w:t>
      </w:r>
      <w:r w:rsidR="00AA3448">
        <w:rPr>
          <w:bCs/>
          <w:sz w:val="24"/>
          <w:szCs w:val="24"/>
        </w:rPr>
        <w:t xml:space="preserve">Vi driver herunder systematisk rapporteringsarbeid til Sivilombudsmannen og internasjonale menneskerettighetsorganer. </w:t>
      </w:r>
      <w:r w:rsidRPr="00D315FB">
        <w:rPr>
          <w:bCs/>
          <w:sz w:val="24"/>
          <w:szCs w:val="24"/>
        </w:rPr>
        <w:t xml:space="preserve">Gjennom vår praksis har vi opparbeidet oss bred erfaring på området. </w:t>
      </w:r>
    </w:p>
    <w:p w:rsidR="00BA1A38" w:rsidRPr="00857F11" w:rsidRDefault="00BA1A38" w:rsidP="002F60F2">
      <w:pPr>
        <w:jc w:val="both"/>
        <w:rPr>
          <w:b/>
          <w:sz w:val="24"/>
          <w:szCs w:val="24"/>
        </w:rPr>
      </w:pPr>
    </w:p>
    <w:p w:rsidR="006F3F67" w:rsidRDefault="00BA1A38" w:rsidP="006F3F67">
      <w:pPr>
        <w:pStyle w:val="NoSpacing"/>
        <w:rPr>
          <w:b/>
          <w:sz w:val="24"/>
          <w:szCs w:val="24"/>
        </w:rPr>
      </w:pPr>
      <w:r>
        <w:rPr>
          <w:b/>
          <w:sz w:val="24"/>
          <w:szCs w:val="24"/>
        </w:rPr>
        <w:t>2</w:t>
      </w:r>
      <w:r w:rsidR="006F3F67" w:rsidRPr="00BA1A38">
        <w:rPr>
          <w:b/>
          <w:sz w:val="24"/>
          <w:szCs w:val="24"/>
        </w:rPr>
        <w:t xml:space="preserve">. </w:t>
      </w:r>
      <w:r w:rsidR="00E966DD">
        <w:rPr>
          <w:b/>
          <w:sz w:val="24"/>
          <w:szCs w:val="24"/>
        </w:rPr>
        <w:t>Ratifisering av OPCAT</w:t>
      </w:r>
    </w:p>
    <w:p w:rsidR="006E06DE" w:rsidRDefault="0023510F" w:rsidP="006F3F67">
      <w:pPr>
        <w:pStyle w:val="NoSpacing"/>
        <w:rPr>
          <w:sz w:val="24"/>
          <w:szCs w:val="24"/>
        </w:rPr>
      </w:pPr>
      <w:r w:rsidRPr="0033669D">
        <w:rPr>
          <w:sz w:val="24"/>
          <w:szCs w:val="24"/>
        </w:rPr>
        <w:t xml:space="preserve">Juss-Buss </w:t>
      </w:r>
      <w:r w:rsidR="00E966DD">
        <w:rPr>
          <w:sz w:val="24"/>
          <w:szCs w:val="24"/>
        </w:rPr>
        <w:t>mener Norge må ratifisere OPCAT så snart som mulig. Arbeidet med å avklare en ratifisering har allerede tatt for lang tid. Interne ressurshensyn og praktiske utfordringer i implementeringsarbeidet kan ikke danne grunnlag for å utsette ratifiseringen ytterligere.</w:t>
      </w:r>
    </w:p>
    <w:p w:rsidR="006F3F67" w:rsidRDefault="006F3F67" w:rsidP="006F3F67">
      <w:pPr>
        <w:pStyle w:val="NoSpacing"/>
        <w:rPr>
          <w:sz w:val="24"/>
          <w:szCs w:val="24"/>
        </w:rPr>
      </w:pPr>
    </w:p>
    <w:p w:rsidR="00D27AE4" w:rsidRDefault="00D27AE4" w:rsidP="006F3F67">
      <w:pPr>
        <w:pStyle w:val="NoSpacing"/>
        <w:rPr>
          <w:b/>
          <w:sz w:val="24"/>
          <w:szCs w:val="24"/>
        </w:rPr>
      </w:pPr>
      <w:r>
        <w:rPr>
          <w:b/>
          <w:sz w:val="24"/>
          <w:szCs w:val="24"/>
        </w:rPr>
        <w:t>3. Nasjonal forebyggende mekanisme</w:t>
      </w:r>
    </w:p>
    <w:p w:rsidR="00D27AE4" w:rsidRDefault="00D27AE4" w:rsidP="006F3F67">
      <w:pPr>
        <w:pStyle w:val="NoSpacing"/>
        <w:rPr>
          <w:sz w:val="24"/>
          <w:szCs w:val="24"/>
        </w:rPr>
      </w:pPr>
      <w:r>
        <w:rPr>
          <w:sz w:val="24"/>
          <w:szCs w:val="24"/>
        </w:rPr>
        <w:t>Juss-Buss er positive til at det er satt i gang arbeid med utredning av virkningene av ratifisering av OPCAT.</w:t>
      </w:r>
      <w:r w:rsidR="005C4BDC">
        <w:rPr>
          <w:sz w:val="24"/>
          <w:szCs w:val="24"/>
        </w:rPr>
        <w:t xml:space="preserve"> Juss-Buss stiller seg imidlertid kritiske til arbeidsgruppens rapport og konklusjon.</w:t>
      </w:r>
    </w:p>
    <w:p w:rsidR="005C4BDC" w:rsidRDefault="005C4BDC" w:rsidP="006F3F67">
      <w:pPr>
        <w:pStyle w:val="NoSpacing"/>
        <w:rPr>
          <w:sz w:val="24"/>
          <w:szCs w:val="24"/>
        </w:rPr>
      </w:pPr>
    </w:p>
    <w:p w:rsidR="005C4BDC" w:rsidRDefault="005C4BDC" w:rsidP="006F3F67">
      <w:pPr>
        <w:pStyle w:val="NoSpacing"/>
        <w:rPr>
          <w:sz w:val="24"/>
          <w:szCs w:val="24"/>
        </w:rPr>
      </w:pPr>
      <w:r>
        <w:rPr>
          <w:sz w:val="24"/>
          <w:szCs w:val="24"/>
        </w:rPr>
        <w:t>Juss-Buss mener det bør opprettes en sterk og uavhengig nasjonal forebyggende mekanisme (heretter NPM)</w:t>
      </w:r>
      <w:r w:rsidR="00A51F3A">
        <w:rPr>
          <w:sz w:val="24"/>
          <w:szCs w:val="24"/>
        </w:rPr>
        <w:t>,</w:t>
      </w:r>
      <w:r>
        <w:rPr>
          <w:sz w:val="24"/>
          <w:szCs w:val="24"/>
        </w:rPr>
        <w:t xml:space="preserve"> som effektivt vil bidra til både å forebygge og avdekke menneskerettighetsbrudd. Arbeidsgruppens forslag går ikke langt nok i å sikre dette.</w:t>
      </w:r>
    </w:p>
    <w:p w:rsidR="005C4BDC" w:rsidRDefault="005C4BDC" w:rsidP="006F3F67">
      <w:pPr>
        <w:pStyle w:val="NoSpacing"/>
        <w:rPr>
          <w:sz w:val="24"/>
          <w:szCs w:val="24"/>
        </w:rPr>
      </w:pPr>
    </w:p>
    <w:p w:rsidR="005C4BDC" w:rsidRDefault="005C4BDC" w:rsidP="006F3F67">
      <w:pPr>
        <w:pStyle w:val="NoSpacing"/>
        <w:rPr>
          <w:sz w:val="24"/>
          <w:szCs w:val="24"/>
        </w:rPr>
      </w:pPr>
      <w:r>
        <w:rPr>
          <w:sz w:val="24"/>
          <w:szCs w:val="24"/>
        </w:rPr>
        <w:t xml:space="preserve">Juss-Buss er </w:t>
      </w:r>
      <w:r w:rsidR="00A51F3A">
        <w:rPr>
          <w:sz w:val="24"/>
          <w:szCs w:val="24"/>
        </w:rPr>
        <w:t>ikke enige i at det</w:t>
      </w:r>
      <w:r>
        <w:rPr>
          <w:sz w:val="24"/>
          <w:szCs w:val="24"/>
        </w:rPr>
        <w:t xml:space="preserve"> å utpeke Sivilombudsmannen (heretter SOM) til NPM vil være hensiktsmessig for å oppfylle kravene i OPCAT</w:t>
      </w:r>
      <w:r w:rsidR="00A51F3A">
        <w:rPr>
          <w:sz w:val="24"/>
          <w:szCs w:val="24"/>
        </w:rPr>
        <w:t>, slik arbeidsgruppen konkluderer</w:t>
      </w:r>
      <w:r>
        <w:rPr>
          <w:sz w:val="24"/>
          <w:szCs w:val="24"/>
        </w:rPr>
        <w:t>. Bakgrunnen for dette utdypes i det følgende.</w:t>
      </w:r>
    </w:p>
    <w:p w:rsidR="00232E9A" w:rsidRDefault="00232E9A" w:rsidP="006F3F67">
      <w:pPr>
        <w:pStyle w:val="NoSpacing"/>
        <w:rPr>
          <w:sz w:val="24"/>
          <w:szCs w:val="24"/>
        </w:rPr>
      </w:pPr>
    </w:p>
    <w:p w:rsidR="00232E9A" w:rsidRPr="00D27AE4" w:rsidRDefault="00232E9A" w:rsidP="006F3F67">
      <w:pPr>
        <w:pStyle w:val="NoSpacing"/>
        <w:rPr>
          <w:sz w:val="24"/>
          <w:szCs w:val="24"/>
        </w:rPr>
      </w:pPr>
      <w:r>
        <w:rPr>
          <w:sz w:val="24"/>
          <w:szCs w:val="24"/>
        </w:rPr>
        <w:t>Velges allikevel SOM som NPM, må det på plass ytterligere endringer enn de arbeidsgruppen har foreslått. Dette vil konkretisere</w:t>
      </w:r>
      <w:r w:rsidR="00A51F3A">
        <w:rPr>
          <w:sz w:val="24"/>
          <w:szCs w:val="24"/>
        </w:rPr>
        <w:t>s i det følgende.</w:t>
      </w:r>
      <w:r>
        <w:rPr>
          <w:sz w:val="24"/>
          <w:szCs w:val="24"/>
        </w:rPr>
        <w:t xml:space="preserve"> .</w:t>
      </w:r>
    </w:p>
    <w:p w:rsidR="00D27AE4" w:rsidRPr="0033669D" w:rsidRDefault="00D27AE4" w:rsidP="006F3F67">
      <w:pPr>
        <w:pStyle w:val="NoSpacing"/>
        <w:rPr>
          <w:sz w:val="24"/>
          <w:szCs w:val="24"/>
        </w:rPr>
      </w:pPr>
    </w:p>
    <w:p w:rsidR="006F3F67" w:rsidRPr="00857F11" w:rsidRDefault="00BA6F5F" w:rsidP="00BA1A38">
      <w:pPr>
        <w:pStyle w:val="NoSpacing"/>
        <w:rPr>
          <w:b/>
          <w:sz w:val="24"/>
          <w:szCs w:val="24"/>
        </w:rPr>
      </w:pPr>
      <w:r>
        <w:rPr>
          <w:b/>
          <w:sz w:val="24"/>
          <w:szCs w:val="24"/>
        </w:rPr>
        <w:t>3</w:t>
      </w:r>
      <w:r w:rsidR="00BA1A38">
        <w:rPr>
          <w:b/>
          <w:sz w:val="24"/>
          <w:szCs w:val="24"/>
        </w:rPr>
        <w:t>.1</w:t>
      </w:r>
      <w:r w:rsidR="006F3F67">
        <w:rPr>
          <w:b/>
          <w:sz w:val="24"/>
          <w:szCs w:val="24"/>
        </w:rPr>
        <w:t xml:space="preserve"> </w:t>
      </w:r>
      <w:r w:rsidR="006F3F67" w:rsidRPr="00857F11">
        <w:rPr>
          <w:b/>
          <w:sz w:val="24"/>
          <w:szCs w:val="24"/>
        </w:rPr>
        <w:t xml:space="preserve">Kravet til uavhengighet </w:t>
      </w:r>
    </w:p>
    <w:p w:rsidR="006F3F67" w:rsidRDefault="006F3F67" w:rsidP="006F3F67">
      <w:pPr>
        <w:pStyle w:val="NoSpacing"/>
        <w:rPr>
          <w:sz w:val="24"/>
          <w:szCs w:val="24"/>
        </w:rPr>
      </w:pPr>
      <w:r w:rsidRPr="00857F11">
        <w:rPr>
          <w:sz w:val="24"/>
          <w:szCs w:val="24"/>
        </w:rPr>
        <w:t xml:space="preserve">Juss-Buss er kritiske til at arbeidsgruppen </w:t>
      </w:r>
      <w:r w:rsidR="00D4639F">
        <w:rPr>
          <w:sz w:val="24"/>
          <w:szCs w:val="24"/>
        </w:rPr>
        <w:t xml:space="preserve">i rapportens punkt 6.4.1.2, </w:t>
      </w:r>
      <w:r w:rsidRPr="00857F11">
        <w:rPr>
          <w:sz w:val="24"/>
          <w:szCs w:val="24"/>
        </w:rPr>
        <w:t xml:space="preserve"> med hjemmel i </w:t>
      </w:r>
      <w:r w:rsidR="004F62B3">
        <w:rPr>
          <w:sz w:val="24"/>
          <w:szCs w:val="24"/>
        </w:rPr>
        <w:t>sivilombudsmannsloven</w:t>
      </w:r>
      <w:r w:rsidRPr="00857F11">
        <w:rPr>
          <w:sz w:val="24"/>
          <w:szCs w:val="24"/>
        </w:rPr>
        <w:t xml:space="preserve"> § 2 annet punktum</w:t>
      </w:r>
      <w:r w:rsidR="00D03997">
        <w:rPr>
          <w:sz w:val="24"/>
          <w:szCs w:val="24"/>
        </w:rPr>
        <w:t>,</w:t>
      </w:r>
      <w:r w:rsidR="00D03997" w:rsidRPr="00D03997">
        <w:rPr>
          <w:sz w:val="24"/>
          <w:szCs w:val="24"/>
        </w:rPr>
        <w:t xml:space="preserve"> </w:t>
      </w:r>
      <w:r w:rsidR="00D03997" w:rsidRPr="00857F11">
        <w:rPr>
          <w:sz w:val="24"/>
          <w:szCs w:val="24"/>
        </w:rPr>
        <w:t xml:space="preserve">anser </w:t>
      </w:r>
      <w:r w:rsidR="00BA6F5F">
        <w:rPr>
          <w:sz w:val="24"/>
          <w:szCs w:val="24"/>
        </w:rPr>
        <w:t xml:space="preserve">SOM </w:t>
      </w:r>
      <w:r w:rsidR="00D03997">
        <w:rPr>
          <w:sz w:val="24"/>
          <w:szCs w:val="24"/>
        </w:rPr>
        <w:t>for</w:t>
      </w:r>
      <w:r w:rsidR="00D03997" w:rsidRPr="00857F11">
        <w:rPr>
          <w:sz w:val="24"/>
          <w:szCs w:val="24"/>
        </w:rPr>
        <w:t xml:space="preserve"> å oppfylle </w:t>
      </w:r>
      <w:r w:rsidR="00D03997">
        <w:rPr>
          <w:sz w:val="24"/>
          <w:szCs w:val="24"/>
        </w:rPr>
        <w:t>uavhengighetskravet i protokollens artikkel 18 nr. 1</w:t>
      </w:r>
      <w:r w:rsidR="00D4639F">
        <w:rPr>
          <w:sz w:val="24"/>
          <w:szCs w:val="24"/>
        </w:rPr>
        <w:t>.</w:t>
      </w:r>
      <w:r w:rsidR="00A51F3A">
        <w:rPr>
          <w:sz w:val="24"/>
          <w:szCs w:val="24"/>
        </w:rPr>
        <w:t xml:space="preserve"> </w:t>
      </w:r>
      <w:r w:rsidR="00D4639F">
        <w:rPr>
          <w:sz w:val="24"/>
          <w:szCs w:val="24"/>
        </w:rPr>
        <w:t>D</w:t>
      </w:r>
      <w:r w:rsidRPr="00857F11">
        <w:rPr>
          <w:sz w:val="24"/>
          <w:szCs w:val="24"/>
        </w:rPr>
        <w:t>enne</w:t>
      </w:r>
      <w:r w:rsidR="00982279">
        <w:rPr>
          <w:sz w:val="24"/>
          <w:szCs w:val="24"/>
        </w:rPr>
        <w:t xml:space="preserve"> </w:t>
      </w:r>
      <w:r w:rsidR="00D03997">
        <w:rPr>
          <w:sz w:val="24"/>
          <w:szCs w:val="24"/>
        </w:rPr>
        <w:t>lov</w:t>
      </w:r>
      <w:r w:rsidR="00982279">
        <w:rPr>
          <w:sz w:val="24"/>
          <w:szCs w:val="24"/>
        </w:rPr>
        <w:t xml:space="preserve">bestemmelsen </w:t>
      </w:r>
      <w:r w:rsidRPr="00857F11">
        <w:rPr>
          <w:sz w:val="24"/>
          <w:szCs w:val="24"/>
        </w:rPr>
        <w:t xml:space="preserve">peker </w:t>
      </w:r>
      <w:r w:rsidR="00D4639F">
        <w:rPr>
          <w:sz w:val="24"/>
          <w:szCs w:val="24"/>
        </w:rPr>
        <w:t xml:space="preserve">kun </w:t>
      </w:r>
      <w:r w:rsidRPr="00857F11">
        <w:rPr>
          <w:sz w:val="24"/>
          <w:szCs w:val="24"/>
        </w:rPr>
        <w:t>på at SOM «</w:t>
      </w:r>
      <w:r w:rsidRPr="00650599">
        <w:rPr>
          <w:i/>
          <w:sz w:val="24"/>
          <w:szCs w:val="24"/>
        </w:rPr>
        <w:t>for øvrig</w:t>
      </w:r>
      <w:r w:rsidRPr="00857F11">
        <w:rPr>
          <w:sz w:val="24"/>
          <w:szCs w:val="24"/>
        </w:rPr>
        <w:t xml:space="preserve">» </w:t>
      </w:r>
      <w:r w:rsidR="00B24813">
        <w:rPr>
          <w:sz w:val="24"/>
          <w:szCs w:val="24"/>
        </w:rPr>
        <w:t>utfører sitt verv selvstendig og uavhengig av Stortinget</w:t>
      </w:r>
      <w:r w:rsidR="006E06DE">
        <w:rPr>
          <w:sz w:val="24"/>
          <w:szCs w:val="24"/>
        </w:rPr>
        <w:t xml:space="preserve">. </w:t>
      </w:r>
      <w:r w:rsidR="00D4639F">
        <w:rPr>
          <w:sz w:val="24"/>
          <w:szCs w:val="24"/>
        </w:rPr>
        <w:t>Juss–Buss mener dette ikke er tilstrekkelig for å oppnå den grad av uavhengighet som protokollen</w:t>
      </w:r>
      <w:r w:rsidR="00D03997">
        <w:rPr>
          <w:sz w:val="24"/>
          <w:szCs w:val="24"/>
        </w:rPr>
        <w:t xml:space="preserve"> </w:t>
      </w:r>
      <w:r w:rsidR="00D4639F">
        <w:rPr>
          <w:sz w:val="24"/>
          <w:szCs w:val="24"/>
        </w:rPr>
        <w:t>og retningslinjene til denne tar sikte på</w:t>
      </w:r>
      <w:r w:rsidR="00D03997">
        <w:rPr>
          <w:sz w:val="24"/>
          <w:szCs w:val="24"/>
        </w:rPr>
        <w:t>, da</w:t>
      </w:r>
      <w:r w:rsidR="00D03997" w:rsidRPr="00D03997">
        <w:rPr>
          <w:sz w:val="24"/>
          <w:szCs w:val="24"/>
        </w:rPr>
        <w:t xml:space="preserve"> </w:t>
      </w:r>
      <w:r w:rsidR="00D03997">
        <w:rPr>
          <w:sz w:val="24"/>
          <w:szCs w:val="24"/>
        </w:rPr>
        <w:t>SOM</w:t>
      </w:r>
      <w:r w:rsidR="00D03997" w:rsidRPr="00857F11">
        <w:rPr>
          <w:sz w:val="24"/>
          <w:szCs w:val="24"/>
        </w:rPr>
        <w:t xml:space="preserve"> </w:t>
      </w:r>
      <w:r w:rsidR="00D03997">
        <w:rPr>
          <w:sz w:val="24"/>
          <w:szCs w:val="24"/>
        </w:rPr>
        <w:t xml:space="preserve">både </w:t>
      </w:r>
      <w:r w:rsidR="00D03997" w:rsidRPr="00857F11">
        <w:rPr>
          <w:sz w:val="24"/>
          <w:szCs w:val="24"/>
        </w:rPr>
        <w:t xml:space="preserve">får </w:t>
      </w:r>
      <w:r w:rsidR="00D03997" w:rsidRPr="00857F11">
        <w:rPr>
          <w:sz w:val="24"/>
          <w:szCs w:val="24"/>
        </w:rPr>
        <w:lastRenderedPageBreak/>
        <w:t>sin instruks fra Stortinget, og omtales som Stortingets tillitsmann</w:t>
      </w:r>
      <w:r w:rsidR="00D03997">
        <w:rPr>
          <w:sz w:val="24"/>
          <w:szCs w:val="24"/>
        </w:rPr>
        <w:t>.</w:t>
      </w:r>
      <w:r w:rsidR="00B00292">
        <w:rPr>
          <w:sz w:val="24"/>
          <w:szCs w:val="24"/>
        </w:rPr>
        <w:t xml:space="preserve"> Vi stiller oss tvilende til </w:t>
      </w:r>
      <w:r w:rsidR="00A51F3A">
        <w:rPr>
          <w:sz w:val="24"/>
          <w:szCs w:val="24"/>
        </w:rPr>
        <w:t xml:space="preserve">hvorvidt </w:t>
      </w:r>
      <w:r w:rsidR="00B00292">
        <w:rPr>
          <w:sz w:val="24"/>
          <w:szCs w:val="24"/>
        </w:rPr>
        <w:t>SOM kan fylle rollen som pådriver for menneskerettighetssituasjonen i fengsler i tilstrekkelig grad.</w:t>
      </w:r>
    </w:p>
    <w:p w:rsidR="002B629F" w:rsidRDefault="002B629F" w:rsidP="006F3F67">
      <w:pPr>
        <w:pStyle w:val="NoSpacing"/>
        <w:rPr>
          <w:sz w:val="24"/>
          <w:szCs w:val="24"/>
        </w:rPr>
      </w:pPr>
    </w:p>
    <w:p w:rsidR="008A4CA5" w:rsidRDefault="001556AB" w:rsidP="006F3F67">
      <w:pPr>
        <w:pStyle w:val="NoSpacing"/>
        <w:rPr>
          <w:sz w:val="24"/>
          <w:szCs w:val="24"/>
        </w:rPr>
      </w:pPr>
      <w:r>
        <w:rPr>
          <w:sz w:val="24"/>
          <w:szCs w:val="24"/>
        </w:rPr>
        <w:t>Juss-Buss mener d</w:t>
      </w:r>
      <w:r w:rsidR="002B629F">
        <w:rPr>
          <w:sz w:val="24"/>
          <w:szCs w:val="24"/>
        </w:rPr>
        <w:t xml:space="preserve">et er viktig at </w:t>
      </w:r>
      <w:bookmarkStart w:id="0" w:name="_GoBack"/>
      <w:r w:rsidR="0000307E">
        <w:rPr>
          <w:sz w:val="24"/>
          <w:szCs w:val="24"/>
        </w:rPr>
        <w:t xml:space="preserve">NPM </w:t>
      </w:r>
      <w:bookmarkEnd w:id="0"/>
      <w:r w:rsidR="002B629F">
        <w:rPr>
          <w:sz w:val="24"/>
          <w:szCs w:val="24"/>
        </w:rPr>
        <w:t xml:space="preserve">ikke blir identifisert med SOM, </w:t>
      </w:r>
      <w:r w:rsidR="00D62E50">
        <w:rPr>
          <w:sz w:val="24"/>
          <w:szCs w:val="24"/>
        </w:rPr>
        <w:t>ettersom</w:t>
      </w:r>
      <w:r w:rsidR="002B629F">
        <w:rPr>
          <w:sz w:val="24"/>
          <w:szCs w:val="24"/>
        </w:rPr>
        <w:t xml:space="preserve"> mandatet og påvirkningsmulighetene er forskjellige. </w:t>
      </w:r>
      <w:r w:rsidR="006217FA">
        <w:rPr>
          <w:sz w:val="24"/>
          <w:szCs w:val="24"/>
        </w:rPr>
        <w:t>F</w:t>
      </w:r>
      <w:r w:rsidR="00A51F3A">
        <w:rPr>
          <w:sz w:val="24"/>
          <w:szCs w:val="24"/>
        </w:rPr>
        <w:t>or eksempel vil f</w:t>
      </w:r>
      <w:r w:rsidR="006217FA">
        <w:rPr>
          <w:sz w:val="24"/>
          <w:szCs w:val="24"/>
        </w:rPr>
        <w:t>anger kunne ha problemer med å skille mellom den del av SOM som skal sikre at forvaltningen ikke øver urett mot den enkelte borger, og den del av SOM som skal operere som NPM. Dette er uheldig, da fanger som tidligere ka</w:t>
      </w:r>
      <w:r w:rsidR="0034062A">
        <w:rPr>
          <w:sz w:val="24"/>
          <w:szCs w:val="24"/>
        </w:rPr>
        <w:t xml:space="preserve">n ha fått sin sak avvist av SOM kan få svekket </w:t>
      </w:r>
      <w:r w:rsidR="006217FA">
        <w:rPr>
          <w:sz w:val="24"/>
          <w:szCs w:val="24"/>
        </w:rPr>
        <w:t>tillit til hvorvidt NPM kan gjøre noe for å endre fengselsforholdene.</w:t>
      </w:r>
    </w:p>
    <w:p w:rsidR="006F3F67" w:rsidRPr="00857F11" w:rsidRDefault="006F3F67" w:rsidP="006F3F67">
      <w:pPr>
        <w:pStyle w:val="NoSpacing"/>
        <w:rPr>
          <w:sz w:val="24"/>
          <w:szCs w:val="24"/>
        </w:rPr>
      </w:pPr>
    </w:p>
    <w:p w:rsidR="006F3F67" w:rsidRDefault="006F3F67" w:rsidP="006F3F67">
      <w:pPr>
        <w:pStyle w:val="NoSpacing"/>
        <w:rPr>
          <w:sz w:val="24"/>
          <w:szCs w:val="24"/>
        </w:rPr>
      </w:pPr>
      <w:r w:rsidRPr="00857F11">
        <w:rPr>
          <w:sz w:val="24"/>
          <w:szCs w:val="24"/>
        </w:rPr>
        <w:t>På bakgrunn av det</w:t>
      </w:r>
      <w:r w:rsidR="0061613A">
        <w:rPr>
          <w:sz w:val="24"/>
          <w:szCs w:val="24"/>
        </w:rPr>
        <w:t>te, mener Juss-Buss at SOM</w:t>
      </w:r>
      <w:r w:rsidRPr="00857F11">
        <w:rPr>
          <w:sz w:val="24"/>
          <w:szCs w:val="24"/>
        </w:rPr>
        <w:t xml:space="preserve"> ikk</w:t>
      </w:r>
      <w:r w:rsidR="0061613A">
        <w:rPr>
          <w:sz w:val="24"/>
          <w:szCs w:val="24"/>
        </w:rPr>
        <w:t>e oppfyller kravene til uavhengighet</w:t>
      </w:r>
      <w:r w:rsidRPr="00857F11">
        <w:rPr>
          <w:sz w:val="24"/>
          <w:szCs w:val="24"/>
        </w:rPr>
        <w:t xml:space="preserve"> som </w:t>
      </w:r>
      <w:r w:rsidR="00A7597B">
        <w:rPr>
          <w:sz w:val="24"/>
          <w:szCs w:val="24"/>
        </w:rPr>
        <w:t>NPM</w:t>
      </w:r>
      <w:r w:rsidRPr="00857F11">
        <w:rPr>
          <w:sz w:val="24"/>
          <w:szCs w:val="24"/>
        </w:rPr>
        <w:t xml:space="preserve"> bør ha</w:t>
      </w:r>
      <w:r w:rsidR="00DC7B5E">
        <w:rPr>
          <w:sz w:val="24"/>
          <w:szCs w:val="24"/>
        </w:rPr>
        <w:t xml:space="preserve">. </w:t>
      </w:r>
      <w:r w:rsidR="00A51F3A">
        <w:rPr>
          <w:sz w:val="24"/>
          <w:szCs w:val="24"/>
        </w:rPr>
        <w:t>Vi mener derfor det må ses til</w:t>
      </w:r>
      <w:r w:rsidR="00DC7B5E">
        <w:rPr>
          <w:sz w:val="24"/>
          <w:szCs w:val="24"/>
        </w:rPr>
        <w:t xml:space="preserve"> en annen løsning enn en Sivilombudsmannsmodell, </w:t>
      </w:r>
      <w:r w:rsidR="00D4402E">
        <w:rPr>
          <w:sz w:val="24"/>
          <w:szCs w:val="24"/>
        </w:rPr>
        <w:t>subsidiært</w:t>
      </w:r>
      <w:r w:rsidR="00DC7B5E">
        <w:rPr>
          <w:sz w:val="24"/>
          <w:szCs w:val="24"/>
        </w:rPr>
        <w:t xml:space="preserve"> at det må gjøres vesentlige endringer i det rettslige grunnlaget og mandatet for SOMs virksomhet.</w:t>
      </w:r>
      <w:r w:rsidR="00D62E50">
        <w:rPr>
          <w:sz w:val="24"/>
          <w:szCs w:val="24"/>
        </w:rPr>
        <w:t xml:space="preserve"> </w:t>
      </w:r>
    </w:p>
    <w:p w:rsidR="00BA1A38" w:rsidRDefault="00BA1A38" w:rsidP="00BA1A38">
      <w:pPr>
        <w:pStyle w:val="NoSpacing"/>
        <w:rPr>
          <w:b/>
          <w:sz w:val="24"/>
          <w:szCs w:val="24"/>
        </w:rPr>
      </w:pPr>
    </w:p>
    <w:p w:rsidR="00501438" w:rsidRPr="00904848" w:rsidRDefault="003A66D0" w:rsidP="00857F11">
      <w:pPr>
        <w:pStyle w:val="NoSpacing"/>
        <w:rPr>
          <w:b/>
          <w:sz w:val="24"/>
          <w:szCs w:val="24"/>
        </w:rPr>
      </w:pPr>
      <w:r>
        <w:rPr>
          <w:b/>
          <w:sz w:val="24"/>
          <w:szCs w:val="24"/>
        </w:rPr>
        <w:t>3</w:t>
      </w:r>
      <w:r w:rsidR="00BA1A38">
        <w:rPr>
          <w:b/>
          <w:sz w:val="24"/>
          <w:szCs w:val="24"/>
        </w:rPr>
        <w:t>.</w:t>
      </w:r>
      <w:r w:rsidR="00C107DC">
        <w:rPr>
          <w:b/>
          <w:sz w:val="24"/>
          <w:szCs w:val="24"/>
        </w:rPr>
        <w:t xml:space="preserve">2 </w:t>
      </w:r>
      <w:r w:rsidR="00857F11">
        <w:rPr>
          <w:b/>
          <w:sz w:val="24"/>
          <w:szCs w:val="24"/>
        </w:rPr>
        <w:t>Kravet til</w:t>
      </w:r>
      <w:r w:rsidR="00857F11" w:rsidRPr="00857F11">
        <w:rPr>
          <w:b/>
          <w:sz w:val="24"/>
          <w:szCs w:val="24"/>
        </w:rPr>
        <w:t xml:space="preserve"> kompetanse</w:t>
      </w:r>
    </w:p>
    <w:p w:rsidR="009D7CCA" w:rsidRDefault="00501438" w:rsidP="00857F11">
      <w:pPr>
        <w:pStyle w:val="NoSpacing"/>
        <w:rPr>
          <w:sz w:val="24"/>
          <w:szCs w:val="24"/>
        </w:rPr>
      </w:pPr>
      <w:r>
        <w:rPr>
          <w:sz w:val="24"/>
          <w:szCs w:val="24"/>
        </w:rPr>
        <w:t xml:space="preserve">Juss-Buss mener at </w:t>
      </w:r>
      <w:r w:rsidR="008E432F">
        <w:rPr>
          <w:sz w:val="24"/>
          <w:szCs w:val="24"/>
        </w:rPr>
        <w:t>for å fylle kravet til kompetanse som fremgår av art. 18 nr. 2</w:t>
      </w:r>
      <w:r w:rsidR="00D03997">
        <w:rPr>
          <w:sz w:val="24"/>
          <w:szCs w:val="24"/>
        </w:rPr>
        <w:t>,</w:t>
      </w:r>
      <w:r w:rsidR="008E432F">
        <w:rPr>
          <w:sz w:val="24"/>
          <w:szCs w:val="24"/>
        </w:rPr>
        <w:t xml:space="preserve"> må det </w:t>
      </w:r>
      <w:r>
        <w:rPr>
          <w:sz w:val="24"/>
          <w:szCs w:val="24"/>
        </w:rPr>
        <w:t xml:space="preserve"> settes opp klare retningslinjer om hvilken kompetanse som skal hentes inn, når </w:t>
      </w:r>
      <w:r w:rsidR="00D4402E">
        <w:rPr>
          <w:sz w:val="24"/>
          <w:szCs w:val="24"/>
        </w:rPr>
        <w:t>dette skal skje samt</w:t>
      </w:r>
      <w:r>
        <w:rPr>
          <w:sz w:val="24"/>
          <w:szCs w:val="24"/>
        </w:rPr>
        <w:t xml:space="preserve"> hvor ofte den skal hentes inn.</w:t>
      </w:r>
      <w:r w:rsidR="003B63BD">
        <w:rPr>
          <w:sz w:val="24"/>
          <w:szCs w:val="24"/>
        </w:rPr>
        <w:t xml:space="preserve"> Vi mener at det mest hensiktsmessige er at den faglige kompetansen primært må ligge i NPM selv. </w:t>
      </w:r>
      <w:r w:rsidR="00D4402E">
        <w:rPr>
          <w:sz w:val="24"/>
          <w:szCs w:val="24"/>
        </w:rPr>
        <w:t xml:space="preserve">På denne måten </w:t>
      </w:r>
      <w:r w:rsidR="003B63BD">
        <w:rPr>
          <w:sz w:val="24"/>
          <w:szCs w:val="24"/>
        </w:rPr>
        <w:t xml:space="preserve">vil </w:t>
      </w:r>
      <w:r w:rsidR="00D4402E">
        <w:rPr>
          <w:sz w:val="24"/>
          <w:szCs w:val="24"/>
        </w:rPr>
        <w:t xml:space="preserve">man sikre  at det foreligger </w:t>
      </w:r>
      <w:r w:rsidR="003B63BD">
        <w:rPr>
          <w:sz w:val="24"/>
          <w:szCs w:val="24"/>
        </w:rPr>
        <w:t xml:space="preserve">kompetanse i alle faser av NPMs </w:t>
      </w:r>
      <w:r w:rsidR="00732DDA">
        <w:rPr>
          <w:sz w:val="24"/>
          <w:szCs w:val="24"/>
        </w:rPr>
        <w:t>tilsyns</w:t>
      </w:r>
      <w:r w:rsidR="003B63BD">
        <w:rPr>
          <w:sz w:val="24"/>
          <w:szCs w:val="24"/>
        </w:rPr>
        <w:t>virksomhet.</w:t>
      </w:r>
    </w:p>
    <w:p w:rsidR="009D7CCA" w:rsidRDefault="009D7CCA" w:rsidP="00857F11">
      <w:pPr>
        <w:pStyle w:val="NoSpacing"/>
        <w:rPr>
          <w:sz w:val="24"/>
          <w:szCs w:val="24"/>
        </w:rPr>
      </w:pPr>
    </w:p>
    <w:p w:rsidR="009D7CCA" w:rsidRDefault="00D4402E" w:rsidP="00857F11">
      <w:pPr>
        <w:pStyle w:val="NoSpacing"/>
        <w:rPr>
          <w:sz w:val="24"/>
          <w:szCs w:val="24"/>
        </w:rPr>
      </w:pPr>
      <w:r>
        <w:rPr>
          <w:sz w:val="24"/>
          <w:szCs w:val="24"/>
        </w:rPr>
        <w:t xml:space="preserve">Én </w:t>
      </w:r>
      <w:r w:rsidR="009D7CCA">
        <w:rPr>
          <w:sz w:val="24"/>
          <w:szCs w:val="24"/>
        </w:rPr>
        <w:t xml:space="preserve">måte å sørge for tilfredsstillende kompetanse, er </w:t>
      </w:r>
      <w:r>
        <w:rPr>
          <w:sz w:val="24"/>
          <w:szCs w:val="24"/>
        </w:rPr>
        <w:t xml:space="preserve">å legge opp til et samarbeid mellom </w:t>
      </w:r>
      <w:r w:rsidR="009D7CCA">
        <w:rPr>
          <w:sz w:val="24"/>
          <w:szCs w:val="24"/>
        </w:rPr>
        <w:t xml:space="preserve">NPM </w:t>
      </w:r>
      <w:r>
        <w:rPr>
          <w:sz w:val="24"/>
          <w:szCs w:val="24"/>
        </w:rPr>
        <w:t>og andre</w:t>
      </w:r>
      <w:r w:rsidR="009D7CCA">
        <w:rPr>
          <w:sz w:val="24"/>
          <w:szCs w:val="24"/>
        </w:rPr>
        <w:t xml:space="preserve"> organer som driver med oppsøkende arbeid på steder for frihetsberøvelse.</w:t>
      </w:r>
      <w:r w:rsidR="00DF3213">
        <w:rPr>
          <w:sz w:val="24"/>
          <w:szCs w:val="24"/>
        </w:rPr>
        <w:t xml:space="preserve"> </w:t>
      </w:r>
      <w:r>
        <w:rPr>
          <w:sz w:val="24"/>
          <w:szCs w:val="24"/>
        </w:rPr>
        <w:t>Tiltak av denne typen vil også</w:t>
      </w:r>
      <w:r w:rsidR="00DF3213">
        <w:rPr>
          <w:sz w:val="24"/>
          <w:szCs w:val="24"/>
        </w:rPr>
        <w:t xml:space="preserve"> bidra til å redusere ressursene som kreves for å utvide SOMs kompetanse i en Sivilombudsmannsmodell.</w:t>
      </w:r>
    </w:p>
    <w:p w:rsidR="009D7CCA" w:rsidRDefault="009D7CCA" w:rsidP="00857F11">
      <w:pPr>
        <w:pStyle w:val="NoSpacing"/>
        <w:rPr>
          <w:sz w:val="24"/>
          <w:szCs w:val="24"/>
        </w:rPr>
      </w:pPr>
    </w:p>
    <w:p w:rsidR="00501438" w:rsidRDefault="00501438" w:rsidP="00857F11">
      <w:pPr>
        <w:pStyle w:val="NoSpacing"/>
        <w:rPr>
          <w:sz w:val="24"/>
          <w:szCs w:val="24"/>
        </w:rPr>
      </w:pPr>
      <w:r>
        <w:rPr>
          <w:sz w:val="24"/>
          <w:szCs w:val="24"/>
        </w:rPr>
        <w:t>Det er avgjørende for NPMs forebyggende funksjon at ressurser ikke kan utgjøre en skranke for hvilken fagkompetanse som knyttes til NPM.</w:t>
      </w:r>
      <w:r w:rsidR="001447CE">
        <w:rPr>
          <w:sz w:val="24"/>
          <w:szCs w:val="24"/>
        </w:rPr>
        <w:t xml:space="preserve"> Juss-Buss ønsker i </w:t>
      </w:r>
      <w:r w:rsidR="00C52644">
        <w:rPr>
          <w:sz w:val="24"/>
          <w:szCs w:val="24"/>
        </w:rPr>
        <w:t xml:space="preserve">denne sammenheng å presisere at en ratifisering av konvensjonen forutsetter ikke bare en vilje, men også en økonomisk forpliktelse fra norske myndigheters side. </w:t>
      </w:r>
    </w:p>
    <w:p w:rsidR="00D226CC" w:rsidRDefault="00D226CC" w:rsidP="00857F11">
      <w:pPr>
        <w:pStyle w:val="NoSpacing"/>
        <w:rPr>
          <w:sz w:val="24"/>
          <w:szCs w:val="24"/>
        </w:rPr>
      </w:pPr>
    </w:p>
    <w:p w:rsidR="00857F11" w:rsidRPr="00857F11" w:rsidRDefault="00E809F9" w:rsidP="00857F11">
      <w:pPr>
        <w:pStyle w:val="NoSpacing"/>
        <w:rPr>
          <w:sz w:val="24"/>
          <w:szCs w:val="24"/>
        </w:rPr>
      </w:pPr>
      <w:r>
        <w:rPr>
          <w:sz w:val="24"/>
          <w:szCs w:val="24"/>
        </w:rPr>
        <w:t>Juss-Buss mener</w:t>
      </w:r>
      <w:r w:rsidR="00E61780">
        <w:rPr>
          <w:sz w:val="24"/>
          <w:szCs w:val="24"/>
        </w:rPr>
        <w:t xml:space="preserve"> </w:t>
      </w:r>
      <w:r w:rsidR="00B15EB4">
        <w:rPr>
          <w:sz w:val="24"/>
          <w:szCs w:val="24"/>
        </w:rPr>
        <w:t>det er uheldig</w:t>
      </w:r>
      <w:r w:rsidR="007534D6">
        <w:rPr>
          <w:sz w:val="24"/>
          <w:szCs w:val="24"/>
        </w:rPr>
        <w:t xml:space="preserve"> at arbeidsgruppen gjennomgående fokuserer på at NPM skal være så kostnadseffektiv som mulig. Vi frykter at denne holdningen vil kunne motvirke formålene med NPM, og således</w:t>
      </w:r>
      <w:r>
        <w:rPr>
          <w:sz w:val="24"/>
          <w:szCs w:val="24"/>
        </w:rPr>
        <w:t xml:space="preserve"> gå på bekostning av NPMs </w:t>
      </w:r>
      <w:r w:rsidR="00D4402E">
        <w:rPr>
          <w:sz w:val="24"/>
          <w:szCs w:val="24"/>
        </w:rPr>
        <w:t>kompetanse.</w:t>
      </w:r>
      <w:r w:rsidR="00BA7C79" w:rsidRPr="00BA7C79">
        <w:rPr>
          <w:sz w:val="24"/>
          <w:szCs w:val="24"/>
        </w:rPr>
        <w:t xml:space="preserve"> </w:t>
      </w:r>
    </w:p>
    <w:p w:rsidR="006F3F67" w:rsidRPr="00857F11" w:rsidRDefault="006F3F67" w:rsidP="006F3F67">
      <w:pPr>
        <w:pStyle w:val="NoSpacing"/>
        <w:rPr>
          <w:b/>
          <w:sz w:val="24"/>
          <w:szCs w:val="24"/>
        </w:rPr>
      </w:pPr>
    </w:p>
    <w:p w:rsidR="006F3F67" w:rsidRPr="00857F11" w:rsidRDefault="000E2990" w:rsidP="00BA1A38">
      <w:pPr>
        <w:pStyle w:val="NoSpacing"/>
        <w:rPr>
          <w:b/>
          <w:sz w:val="24"/>
          <w:szCs w:val="24"/>
        </w:rPr>
      </w:pPr>
      <w:r>
        <w:rPr>
          <w:b/>
          <w:sz w:val="24"/>
          <w:szCs w:val="24"/>
        </w:rPr>
        <w:t>3</w:t>
      </w:r>
      <w:r w:rsidR="00BA1A38">
        <w:rPr>
          <w:b/>
          <w:sz w:val="24"/>
          <w:szCs w:val="24"/>
        </w:rPr>
        <w:t>.</w:t>
      </w:r>
      <w:r w:rsidR="00C107DC">
        <w:rPr>
          <w:b/>
          <w:sz w:val="24"/>
          <w:szCs w:val="24"/>
        </w:rPr>
        <w:t>3</w:t>
      </w:r>
      <w:r w:rsidR="006F3F67">
        <w:rPr>
          <w:b/>
          <w:sz w:val="24"/>
          <w:szCs w:val="24"/>
        </w:rPr>
        <w:t xml:space="preserve"> </w:t>
      </w:r>
      <w:r w:rsidR="006F3F67" w:rsidRPr="00857F11">
        <w:rPr>
          <w:b/>
          <w:sz w:val="24"/>
          <w:szCs w:val="24"/>
        </w:rPr>
        <w:t>NPMs forebyggende virksomhet</w:t>
      </w:r>
    </w:p>
    <w:p w:rsidR="001C40FF" w:rsidRDefault="006F3F67" w:rsidP="001C40FF">
      <w:pPr>
        <w:pStyle w:val="NoSpacing"/>
        <w:rPr>
          <w:sz w:val="24"/>
          <w:szCs w:val="24"/>
        </w:rPr>
      </w:pPr>
      <w:r w:rsidRPr="00857F11">
        <w:rPr>
          <w:sz w:val="24"/>
          <w:szCs w:val="24"/>
        </w:rPr>
        <w:t xml:space="preserve">For å oppfylle </w:t>
      </w:r>
      <w:r w:rsidR="001447CE">
        <w:rPr>
          <w:sz w:val="24"/>
          <w:szCs w:val="24"/>
        </w:rPr>
        <w:t>formålet etter</w:t>
      </w:r>
      <w:r w:rsidR="00E809F9">
        <w:rPr>
          <w:sz w:val="24"/>
          <w:szCs w:val="24"/>
        </w:rPr>
        <w:t xml:space="preserve"> </w:t>
      </w:r>
      <w:r w:rsidR="001447CE">
        <w:rPr>
          <w:sz w:val="24"/>
          <w:szCs w:val="24"/>
        </w:rPr>
        <w:t xml:space="preserve">protokollens artikkel 1 om </w:t>
      </w:r>
      <w:r w:rsidR="001447CE" w:rsidRPr="00857F11">
        <w:rPr>
          <w:sz w:val="24"/>
          <w:szCs w:val="24"/>
        </w:rPr>
        <w:t>NPM</w:t>
      </w:r>
      <w:r w:rsidR="001447CE">
        <w:rPr>
          <w:sz w:val="24"/>
          <w:szCs w:val="24"/>
        </w:rPr>
        <w:t>s</w:t>
      </w:r>
      <w:r w:rsidR="001447CE" w:rsidRPr="00857F11">
        <w:rPr>
          <w:sz w:val="24"/>
          <w:szCs w:val="24"/>
        </w:rPr>
        <w:t xml:space="preserve"> forebyggende </w:t>
      </w:r>
      <w:r w:rsidR="001447CE">
        <w:rPr>
          <w:sz w:val="24"/>
          <w:szCs w:val="24"/>
        </w:rPr>
        <w:t>funksjon mot brudd på torturkonvensjonen</w:t>
      </w:r>
      <w:r w:rsidR="00E61780">
        <w:rPr>
          <w:sz w:val="24"/>
          <w:szCs w:val="24"/>
        </w:rPr>
        <w:t xml:space="preserve">, mener </w:t>
      </w:r>
      <w:r w:rsidR="001447CE">
        <w:rPr>
          <w:sz w:val="24"/>
          <w:szCs w:val="24"/>
        </w:rPr>
        <w:t xml:space="preserve">Juss-Buss </w:t>
      </w:r>
      <w:r w:rsidRPr="00857F11">
        <w:rPr>
          <w:sz w:val="24"/>
          <w:szCs w:val="24"/>
        </w:rPr>
        <w:t>det</w:t>
      </w:r>
      <w:r w:rsidR="00E61780">
        <w:rPr>
          <w:sz w:val="24"/>
          <w:szCs w:val="24"/>
        </w:rPr>
        <w:t xml:space="preserve"> er</w:t>
      </w:r>
      <w:r w:rsidRPr="00857F11">
        <w:rPr>
          <w:sz w:val="24"/>
          <w:szCs w:val="24"/>
        </w:rPr>
        <w:t xml:space="preserve"> avgjørende at NPM gis </w:t>
      </w:r>
      <w:r w:rsidR="001447CE">
        <w:rPr>
          <w:sz w:val="24"/>
          <w:szCs w:val="24"/>
        </w:rPr>
        <w:t xml:space="preserve">tilstrekkelig med </w:t>
      </w:r>
      <w:r w:rsidRPr="00857F11">
        <w:rPr>
          <w:sz w:val="24"/>
          <w:szCs w:val="24"/>
        </w:rPr>
        <w:t>ressurser til å besøke steder for frihetsberøvelse regelmessig</w:t>
      </w:r>
      <w:r w:rsidR="00A076C9">
        <w:rPr>
          <w:sz w:val="24"/>
          <w:szCs w:val="24"/>
        </w:rPr>
        <w:t>.</w:t>
      </w:r>
      <w:r w:rsidR="001C40FF">
        <w:rPr>
          <w:sz w:val="24"/>
          <w:szCs w:val="24"/>
        </w:rPr>
        <w:t xml:space="preserve"> Juss-Buss mener at NPM må være et organ som kan drive sin virksomhet på en offensiv og foroverlent måte. Dette er nødvendig for at organet skal kunne operere med den tiltenkte forebyggende hensikt.</w:t>
      </w:r>
    </w:p>
    <w:p w:rsidR="006F3F67" w:rsidRPr="00857F11" w:rsidRDefault="006F3F67" w:rsidP="006F3F67">
      <w:pPr>
        <w:pStyle w:val="NoSpacing"/>
        <w:rPr>
          <w:sz w:val="24"/>
          <w:szCs w:val="24"/>
        </w:rPr>
      </w:pPr>
    </w:p>
    <w:p w:rsidR="00A076C9" w:rsidRDefault="00A076C9" w:rsidP="00A076C9">
      <w:pPr>
        <w:pStyle w:val="NoSpacing"/>
        <w:rPr>
          <w:sz w:val="24"/>
          <w:szCs w:val="24"/>
        </w:rPr>
      </w:pPr>
      <w:r w:rsidRPr="00857F11">
        <w:rPr>
          <w:sz w:val="24"/>
          <w:szCs w:val="24"/>
        </w:rPr>
        <w:t xml:space="preserve">SOMs virksomhet er i dag en klagebasert ordning. For at SOM skal oppfylle NPMs mandat, er det viktig at SOMs virksomhet som NPM skiller seg fra den nåværende klageordningen. Hyppigheten av besøk til </w:t>
      </w:r>
      <w:r w:rsidR="00DF2112" w:rsidRPr="00857F11">
        <w:rPr>
          <w:sz w:val="24"/>
          <w:szCs w:val="24"/>
        </w:rPr>
        <w:t>stede</w:t>
      </w:r>
      <w:r w:rsidR="00DF2112">
        <w:rPr>
          <w:sz w:val="24"/>
          <w:szCs w:val="24"/>
        </w:rPr>
        <w:t>r</w:t>
      </w:r>
      <w:r w:rsidR="00DF2112" w:rsidRPr="00857F11">
        <w:rPr>
          <w:sz w:val="24"/>
          <w:szCs w:val="24"/>
        </w:rPr>
        <w:t xml:space="preserve"> </w:t>
      </w:r>
      <w:r w:rsidRPr="00857F11">
        <w:rPr>
          <w:sz w:val="24"/>
          <w:szCs w:val="24"/>
        </w:rPr>
        <w:t xml:space="preserve">for frihetsberøvelse kan derfor ikke </w:t>
      </w:r>
      <w:r w:rsidR="00DF2112">
        <w:rPr>
          <w:sz w:val="24"/>
          <w:szCs w:val="24"/>
        </w:rPr>
        <w:t>begrenses til å skulle foretas kun</w:t>
      </w:r>
      <w:r w:rsidR="00DF2112" w:rsidRPr="00857F11">
        <w:rPr>
          <w:sz w:val="24"/>
          <w:szCs w:val="24"/>
        </w:rPr>
        <w:t xml:space="preserve"> </w:t>
      </w:r>
      <w:r w:rsidR="00DF2112">
        <w:rPr>
          <w:sz w:val="24"/>
          <w:szCs w:val="24"/>
        </w:rPr>
        <w:t>ved</w:t>
      </w:r>
      <w:r w:rsidR="00DF2112" w:rsidRPr="00857F11">
        <w:rPr>
          <w:sz w:val="24"/>
          <w:szCs w:val="24"/>
        </w:rPr>
        <w:t xml:space="preserve"> </w:t>
      </w:r>
      <w:r w:rsidRPr="00857F11">
        <w:rPr>
          <w:sz w:val="24"/>
          <w:szCs w:val="24"/>
        </w:rPr>
        <w:t xml:space="preserve">mistanke om brudd på konvensjonen. I så fall vil NPM opptre som en klageinstans, noe som </w:t>
      </w:r>
      <w:r w:rsidR="00DF2112">
        <w:rPr>
          <w:sz w:val="24"/>
          <w:szCs w:val="24"/>
        </w:rPr>
        <w:t>ikke er i tråd med OPCATs</w:t>
      </w:r>
      <w:r>
        <w:rPr>
          <w:sz w:val="24"/>
          <w:szCs w:val="24"/>
        </w:rPr>
        <w:t xml:space="preserve"> formål</w:t>
      </w:r>
      <w:r w:rsidRPr="00857F11">
        <w:rPr>
          <w:sz w:val="24"/>
          <w:szCs w:val="24"/>
        </w:rPr>
        <w:t xml:space="preserve">. </w:t>
      </w:r>
      <w:r w:rsidR="00751D7B">
        <w:rPr>
          <w:sz w:val="24"/>
          <w:szCs w:val="24"/>
        </w:rPr>
        <w:t xml:space="preserve">Juss-Buss driver oppsøkende virksomhet i fengsler hver uke, og mener at vi kan bistå NPM i dens arbeid. Vi erfarer at SOM per i dag ikke har tilstrekkelig kapasitet til å foreta nok oppsøkende virksomhet. </w:t>
      </w:r>
      <w:r w:rsidR="0051216B">
        <w:rPr>
          <w:sz w:val="24"/>
          <w:szCs w:val="24"/>
        </w:rPr>
        <w:t>D</w:t>
      </w:r>
      <w:r w:rsidR="003018A7">
        <w:rPr>
          <w:sz w:val="24"/>
          <w:szCs w:val="24"/>
        </w:rPr>
        <w:t>e besøk som gjennomføres blir</w:t>
      </w:r>
      <w:r w:rsidR="0051216B">
        <w:rPr>
          <w:sz w:val="24"/>
          <w:szCs w:val="24"/>
        </w:rPr>
        <w:t xml:space="preserve"> i tillegg</w:t>
      </w:r>
      <w:r w:rsidR="003018A7">
        <w:rPr>
          <w:sz w:val="24"/>
          <w:szCs w:val="24"/>
        </w:rPr>
        <w:t xml:space="preserve"> varslet på forhånd</w:t>
      </w:r>
      <w:r w:rsidR="00DF2112">
        <w:rPr>
          <w:sz w:val="24"/>
          <w:szCs w:val="24"/>
        </w:rPr>
        <w:t>.</w:t>
      </w:r>
      <w:r w:rsidR="003018A7">
        <w:rPr>
          <w:sz w:val="24"/>
          <w:szCs w:val="24"/>
        </w:rPr>
        <w:t xml:space="preserve"> </w:t>
      </w:r>
      <w:r w:rsidR="00DF2112">
        <w:rPr>
          <w:sz w:val="24"/>
          <w:szCs w:val="24"/>
        </w:rPr>
        <w:t>V</w:t>
      </w:r>
      <w:r w:rsidR="0051216B">
        <w:rPr>
          <w:sz w:val="24"/>
          <w:szCs w:val="24"/>
        </w:rPr>
        <w:t>i erfarer</w:t>
      </w:r>
      <w:r w:rsidR="003018A7">
        <w:rPr>
          <w:sz w:val="24"/>
          <w:szCs w:val="24"/>
        </w:rPr>
        <w:t xml:space="preserve"> at de innsatte </w:t>
      </w:r>
      <w:r w:rsidR="0051216B">
        <w:rPr>
          <w:sz w:val="24"/>
          <w:szCs w:val="24"/>
        </w:rPr>
        <w:t>mener</w:t>
      </w:r>
      <w:r w:rsidR="003018A7">
        <w:rPr>
          <w:sz w:val="24"/>
          <w:szCs w:val="24"/>
        </w:rPr>
        <w:t xml:space="preserve"> den reelle fengselssituasjonen ikke kommer frem under besøkene, for eksempel ved</w:t>
      </w:r>
      <w:r w:rsidR="00B4656A">
        <w:rPr>
          <w:sz w:val="24"/>
          <w:szCs w:val="24"/>
        </w:rPr>
        <w:t xml:space="preserve"> at isolasjonscellene blir tømt under besøk.</w:t>
      </w:r>
    </w:p>
    <w:p w:rsidR="00A076C9" w:rsidRDefault="00A076C9" w:rsidP="00A076C9">
      <w:pPr>
        <w:pStyle w:val="NoSpacing"/>
        <w:rPr>
          <w:sz w:val="24"/>
          <w:szCs w:val="24"/>
        </w:rPr>
      </w:pPr>
    </w:p>
    <w:p w:rsidR="001C40FF" w:rsidRDefault="001C40FF" w:rsidP="001C40FF">
      <w:pPr>
        <w:pStyle w:val="NoSpacing"/>
        <w:rPr>
          <w:sz w:val="24"/>
          <w:szCs w:val="24"/>
        </w:rPr>
      </w:pPr>
      <w:r>
        <w:rPr>
          <w:sz w:val="24"/>
          <w:szCs w:val="24"/>
        </w:rPr>
        <w:t xml:space="preserve">Ved å knytte seg </w:t>
      </w:r>
      <w:r w:rsidR="00DF2112">
        <w:rPr>
          <w:sz w:val="24"/>
          <w:szCs w:val="24"/>
        </w:rPr>
        <w:t xml:space="preserve">til </w:t>
      </w:r>
      <w:r>
        <w:rPr>
          <w:sz w:val="24"/>
          <w:szCs w:val="24"/>
        </w:rPr>
        <w:t>fagkompetente samarbeidspartnere</w:t>
      </w:r>
      <w:r w:rsidR="00DF2112">
        <w:rPr>
          <w:sz w:val="24"/>
          <w:szCs w:val="24"/>
        </w:rPr>
        <w:t>,</w:t>
      </w:r>
      <w:r>
        <w:rPr>
          <w:sz w:val="24"/>
          <w:szCs w:val="24"/>
        </w:rPr>
        <w:t xml:space="preserve"> kan NPM på en enkel og økonomisk måte sørge for et bredere erfaringsgrunnlag ved å dra nytte av andre organers oppsøkende arbeid. Juss-Buss mener at NPM på denne måten kan føre bedre kontroll med steder for frihetsberøvelse. </w:t>
      </w:r>
      <w:r w:rsidR="00A076C9" w:rsidRPr="00857F11">
        <w:rPr>
          <w:sz w:val="24"/>
          <w:szCs w:val="24"/>
        </w:rPr>
        <w:t xml:space="preserve">Dette kan bidra til at </w:t>
      </w:r>
      <w:r w:rsidR="00751D7B">
        <w:rPr>
          <w:sz w:val="24"/>
          <w:szCs w:val="24"/>
        </w:rPr>
        <w:t>NPM</w:t>
      </w:r>
      <w:r w:rsidR="00A076C9" w:rsidRPr="00857F11">
        <w:rPr>
          <w:sz w:val="24"/>
          <w:szCs w:val="24"/>
        </w:rPr>
        <w:t xml:space="preserve"> får et bredere erfaringsgrunnlag for å komme med anbefalinger til forvaltningen. Slik vil også NPM bedre oppfylle mandatet som en forebyggende, og ikke retroaktiv, mekanisme.</w:t>
      </w:r>
    </w:p>
    <w:p w:rsidR="006F3F67" w:rsidRPr="00857F11" w:rsidRDefault="006F3F67" w:rsidP="006F3F67">
      <w:pPr>
        <w:pStyle w:val="NoSpacing"/>
        <w:rPr>
          <w:sz w:val="24"/>
          <w:szCs w:val="24"/>
        </w:rPr>
      </w:pPr>
    </w:p>
    <w:p w:rsidR="001A190A" w:rsidRDefault="00253639">
      <w:pPr>
        <w:pStyle w:val="NoSpacing"/>
        <w:rPr>
          <w:b/>
          <w:sz w:val="24"/>
          <w:szCs w:val="24"/>
        </w:rPr>
      </w:pPr>
      <w:r>
        <w:rPr>
          <w:b/>
          <w:sz w:val="24"/>
          <w:szCs w:val="24"/>
        </w:rPr>
        <w:t>3</w:t>
      </w:r>
      <w:r w:rsidR="00C107DC">
        <w:rPr>
          <w:b/>
          <w:sz w:val="24"/>
          <w:szCs w:val="24"/>
        </w:rPr>
        <w:t>.4</w:t>
      </w:r>
      <w:r w:rsidR="00C760D4">
        <w:rPr>
          <w:b/>
          <w:sz w:val="24"/>
          <w:szCs w:val="24"/>
        </w:rPr>
        <w:t xml:space="preserve"> </w:t>
      </w:r>
      <w:r w:rsidR="00857F11" w:rsidRPr="00857F11">
        <w:rPr>
          <w:b/>
          <w:sz w:val="24"/>
          <w:szCs w:val="24"/>
        </w:rPr>
        <w:t xml:space="preserve">Dialog mellom </w:t>
      </w:r>
      <w:r w:rsidR="006F3F67">
        <w:rPr>
          <w:b/>
          <w:sz w:val="24"/>
          <w:szCs w:val="24"/>
        </w:rPr>
        <w:t>nasjonal forebyggende mekanisme og norske myndigheter</w:t>
      </w:r>
    </w:p>
    <w:p w:rsidR="004E4A82" w:rsidRDefault="001C40FF" w:rsidP="00857F11">
      <w:pPr>
        <w:pStyle w:val="NoSpacing"/>
        <w:rPr>
          <w:sz w:val="24"/>
          <w:szCs w:val="24"/>
        </w:rPr>
      </w:pPr>
      <w:r>
        <w:rPr>
          <w:sz w:val="24"/>
          <w:szCs w:val="24"/>
        </w:rPr>
        <w:t xml:space="preserve">Kravet </w:t>
      </w:r>
      <w:r w:rsidR="00FD35E3">
        <w:rPr>
          <w:sz w:val="24"/>
          <w:szCs w:val="24"/>
        </w:rPr>
        <w:t xml:space="preserve">etter protokollens art. 22 er at NPM skal kunne fremsette anbefalinger til myndighetene, at myndighetene plikter å gjennomgå disse og at det pliktes å inngå en dialog med </w:t>
      </w:r>
      <w:r w:rsidR="00751D7B">
        <w:rPr>
          <w:sz w:val="24"/>
          <w:szCs w:val="24"/>
        </w:rPr>
        <w:t>mekanismen om mulige gjennomføri</w:t>
      </w:r>
      <w:r w:rsidR="00FD35E3">
        <w:rPr>
          <w:sz w:val="24"/>
          <w:szCs w:val="24"/>
        </w:rPr>
        <w:t>ngstiltak.</w:t>
      </w:r>
      <w:r w:rsidR="004E4A82">
        <w:rPr>
          <w:sz w:val="24"/>
          <w:szCs w:val="24"/>
        </w:rPr>
        <w:t xml:space="preserve"> </w:t>
      </w:r>
      <w:r w:rsidR="00533DCB">
        <w:rPr>
          <w:sz w:val="24"/>
          <w:szCs w:val="24"/>
        </w:rPr>
        <w:t xml:space="preserve">Juss-Buss mener </w:t>
      </w:r>
      <w:r w:rsidR="004B32FD">
        <w:rPr>
          <w:sz w:val="24"/>
          <w:szCs w:val="24"/>
        </w:rPr>
        <w:t>det er avgjørende at NPMs anbefalinger blir tatt til følge.</w:t>
      </w:r>
    </w:p>
    <w:p w:rsidR="00857F11" w:rsidRPr="00857F11" w:rsidRDefault="00857F11" w:rsidP="00857F11">
      <w:pPr>
        <w:pStyle w:val="NoSpacing"/>
        <w:rPr>
          <w:sz w:val="24"/>
          <w:szCs w:val="24"/>
        </w:rPr>
      </w:pPr>
    </w:p>
    <w:p w:rsidR="00857F11" w:rsidRPr="00857F11" w:rsidRDefault="00857F11" w:rsidP="00857F11">
      <w:pPr>
        <w:pStyle w:val="NoSpacing"/>
        <w:rPr>
          <w:sz w:val="24"/>
          <w:szCs w:val="24"/>
        </w:rPr>
      </w:pPr>
      <w:r w:rsidRPr="00857F11">
        <w:rPr>
          <w:sz w:val="24"/>
          <w:szCs w:val="24"/>
        </w:rPr>
        <w:t xml:space="preserve">Juss-Buss er kritiske til at </w:t>
      </w:r>
      <w:r w:rsidR="001C40FF">
        <w:rPr>
          <w:sz w:val="24"/>
          <w:szCs w:val="24"/>
        </w:rPr>
        <w:t>arb</w:t>
      </w:r>
      <w:r w:rsidR="003371EE">
        <w:rPr>
          <w:sz w:val="24"/>
          <w:szCs w:val="24"/>
        </w:rPr>
        <w:t>e</w:t>
      </w:r>
      <w:r w:rsidR="00442268">
        <w:rPr>
          <w:sz w:val="24"/>
          <w:szCs w:val="24"/>
        </w:rPr>
        <w:t>i</w:t>
      </w:r>
      <w:r w:rsidR="001C40FF">
        <w:rPr>
          <w:sz w:val="24"/>
          <w:szCs w:val="24"/>
        </w:rPr>
        <w:t xml:space="preserve">dsgruppen ikke legger opp til en tydeliggjøring av </w:t>
      </w:r>
      <w:r w:rsidRPr="00857F11">
        <w:rPr>
          <w:sz w:val="24"/>
          <w:szCs w:val="24"/>
        </w:rPr>
        <w:t xml:space="preserve">dialogen mellom norske myndigheter og NPM. </w:t>
      </w:r>
      <w:r w:rsidR="001C40FF">
        <w:rPr>
          <w:sz w:val="24"/>
          <w:szCs w:val="24"/>
        </w:rPr>
        <w:t xml:space="preserve">I rapporten vises det i punkt </w:t>
      </w:r>
      <w:r w:rsidR="00533DCB">
        <w:rPr>
          <w:sz w:val="24"/>
          <w:szCs w:val="24"/>
        </w:rPr>
        <w:t>6.4.1.7.</w:t>
      </w:r>
      <w:r w:rsidR="001C40FF">
        <w:rPr>
          <w:sz w:val="24"/>
          <w:szCs w:val="24"/>
        </w:rPr>
        <w:t xml:space="preserve"> til at kravet vil bli</w:t>
      </w:r>
      <w:r w:rsidR="001C40FF" w:rsidRPr="00857F11">
        <w:rPr>
          <w:sz w:val="24"/>
          <w:szCs w:val="24"/>
        </w:rPr>
        <w:t xml:space="preserve"> ivaretatt gjennom at det </w:t>
      </w:r>
      <w:r w:rsidR="001C40FF">
        <w:rPr>
          <w:sz w:val="24"/>
          <w:szCs w:val="24"/>
        </w:rPr>
        <w:t>«</w:t>
      </w:r>
      <w:r w:rsidR="001C40FF" w:rsidRPr="00650599">
        <w:rPr>
          <w:i/>
          <w:sz w:val="24"/>
          <w:szCs w:val="24"/>
        </w:rPr>
        <w:t>ikke er uvanlig at forvaltningsorganer inngår dialog med SOM om oppfølging av SOMs uttalelser</w:t>
      </w:r>
      <w:r w:rsidR="001C40FF">
        <w:rPr>
          <w:sz w:val="24"/>
          <w:szCs w:val="24"/>
        </w:rPr>
        <w:t>»</w:t>
      </w:r>
      <w:r w:rsidR="001C40FF" w:rsidRPr="00857F11">
        <w:rPr>
          <w:sz w:val="24"/>
          <w:szCs w:val="24"/>
        </w:rPr>
        <w:t xml:space="preserve">. </w:t>
      </w:r>
      <w:r w:rsidR="009333E1">
        <w:rPr>
          <w:sz w:val="24"/>
          <w:szCs w:val="24"/>
        </w:rPr>
        <w:t>Slik situasjonen er i dag, har myndighetene</w:t>
      </w:r>
      <w:r w:rsidR="004E4A82">
        <w:rPr>
          <w:sz w:val="24"/>
          <w:szCs w:val="24"/>
        </w:rPr>
        <w:t xml:space="preserve"> </w:t>
      </w:r>
      <w:r w:rsidRPr="00857F11">
        <w:rPr>
          <w:sz w:val="24"/>
          <w:szCs w:val="24"/>
        </w:rPr>
        <w:t xml:space="preserve">ingen plikt til å inngå dialog </w:t>
      </w:r>
      <w:r w:rsidR="009333E1">
        <w:rPr>
          <w:sz w:val="24"/>
          <w:szCs w:val="24"/>
        </w:rPr>
        <w:t xml:space="preserve">med SOM </w:t>
      </w:r>
      <w:r w:rsidRPr="00857F11">
        <w:rPr>
          <w:sz w:val="24"/>
          <w:szCs w:val="24"/>
        </w:rPr>
        <w:t xml:space="preserve">og </w:t>
      </w:r>
      <w:r w:rsidR="009333E1">
        <w:rPr>
          <w:sz w:val="24"/>
          <w:szCs w:val="24"/>
        </w:rPr>
        <w:t>en slik kommunikasjon</w:t>
      </w:r>
      <w:r w:rsidRPr="00857F11">
        <w:rPr>
          <w:sz w:val="24"/>
          <w:szCs w:val="24"/>
        </w:rPr>
        <w:t xml:space="preserve"> kan dermed unnlates uten at dette får konsekvenser. </w:t>
      </w:r>
      <w:r w:rsidR="005B676B">
        <w:rPr>
          <w:sz w:val="24"/>
          <w:szCs w:val="24"/>
        </w:rPr>
        <w:t xml:space="preserve">Vi mener at det ikke er holdbart </w:t>
      </w:r>
      <w:r w:rsidR="00546E02">
        <w:rPr>
          <w:sz w:val="24"/>
          <w:szCs w:val="24"/>
        </w:rPr>
        <w:t xml:space="preserve">at man forankrer en </w:t>
      </w:r>
      <w:r w:rsidR="005B676B">
        <w:rPr>
          <w:sz w:val="24"/>
          <w:szCs w:val="24"/>
        </w:rPr>
        <w:t>kravet etter art. 22</w:t>
      </w:r>
      <w:r w:rsidR="00DF2112">
        <w:rPr>
          <w:sz w:val="24"/>
          <w:szCs w:val="24"/>
        </w:rPr>
        <w:t xml:space="preserve"> </w:t>
      </w:r>
      <w:r w:rsidR="00546E02">
        <w:rPr>
          <w:sz w:val="24"/>
          <w:szCs w:val="24"/>
        </w:rPr>
        <w:t>i en slik uklar praksis.</w:t>
      </w:r>
      <w:r w:rsidRPr="00857F11">
        <w:rPr>
          <w:sz w:val="24"/>
          <w:szCs w:val="24"/>
        </w:rPr>
        <w:t xml:space="preserve"> </w:t>
      </w:r>
    </w:p>
    <w:p w:rsidR="00857F11" w:rsidRPr="00857F11" w:rsidRDefault="00857F11" w:rsidP="00857F11">
      <w:pPr>
        <w:pStyle w:val="NoSpacing"/>
        <w:rPr>
          <w:sz w:val="24"/>
          <w:szCs w:val="24"/>
        </w:rPr>
      </w:pPr>
    </w:p>
    <w:p w:rsidR="002F0EB0" w:rsidRDefault="00857F11" w:rsidP="00857F11">
      <w:pPr>
        <w:pStyle w:val="NoSpacing"/>
        <w:rPr>
          <w:sz w:val="24"/>
          <w:szCs w:val="24"/>
        </w:rPr>
      </w:pPr>
      <w:r w:rsidRPr="00857F11">
        <w:rPr>
          <w:sz w:val="24"/>
          <w:szCs w:val="24"/>
        </w:rPr>
        <w:t>Juss-Buss mener at dialogen mellom norske myndigheter og NPM</w:t>
      </w:r>
      <w:r w:rsidR="00C44BB0">
        <w:rPr>
          <w:sz w:val="24"/>
          <w:szCs w:val="24"/>
        </w:rPr>
        <w:t xml:space="preserve"> bør lovfestes</w:t>
      </w:r>
      <w:r w:rsidRPr="00857F11">
        <w:rPr>
          <w:sz w:val="24"/>
          <w:szCs w:val="24"/>
        </w:rPr>
        <w:t>.</w:t>
      </w:r>
    </w:p>
    <w:p w:rsidR="009371F2" w:rsidRDefault="009371F2" w:rsidP="00857F11">
      <w:pPr>
        <w:pStyle w:val="NoSpacing"/>
        <w:rPr>
          <w:sz w:val="24"/>
          <w:szCs w:val="24"/>
        </w:rPr>
      </w:pPr>
    </w:p>
    <w:p w:rsidR="009371F2" w:rsidRDefault="0070505F" w:rsidP="00857F11">
      <w:pPr>
        <w:pStyle w:val="NoSpacing"/>
        <w:rPr>
          <w:b/>
          <w:sz w:val="24"/>
          <w:szCs w:val="24"/>
        </w:rPr>
      </w:pPr>
      <w:r>
        <w:rPr>
          <w:b/>
          <w:sz w:val="24"/>
          <w:szCs w:val="24"/>
        </w:rPr>
        <w:t>3</w:t>
      </w:r>
      <w:r w:rsidR="00C107DC">
        <w:rPr>
          <w:b/>
          <w:sz w:val="24"/>
          <w:szCs w:val="24"/>
        </w:rPr>
        <w:t>.5</w:t>
      </w:r>
      <w:r w:rsidR="009371F2">
        <w:rPr>
          <w:b/>
          <w:sz w:val="24"/>
          <w:szCs w:val="24"/>
        </w:rPr>
        <w:t xml:space="preserve"> </w:t>
      </w:r>
      <w:r>
        <w:rPr>
          <w:b/>
          <w:sz w:val="24"/>
          <w:szCs w:val="24"/>
        </w:rPr>
        <w:t>Sivilombudsmannen</w:t>
      </w:r>
      <w:r w:rsidR="00C44BB0">
        <w:rPr>
          <w:b/>
          <w:sz w:val="24"/>
          <w:szCs w:val="24"/>
        </w:rPr>
        <w:t xml:space="preserve"> som NPM</w:t>
      </w:r>
      <w:r w:rsidR="009371F2">
        <w:rPr>
          <w:b/>
          <w:sz w:val="24"/>
          <w:szCs w:val="24"/>
        </w:rPr>
        <w:t xml:space="preserve"> </w:t>
      </w:r>
      <w:r w:rsidR="00C44BB0">
        <w:rPr>
          <w:b/>
          <w:sz w:val="24"/>
          <w:szCs w:val="24"/>
        </w:rPr>
        <w:t>med</w:t>
      </w:r>
      <w:r w:rsidR="009371F2">
        <w:rPr>
          <w:b/>
          <w:sz w:val="24"/>
          <w:szCs w:val="24"/>
        </w:rPr>
        <w:t xml:space="preserve"> et rådgivende utvalg</w:t>
      </w:r>
    </w:p>
    <w:p w:rsidR="009371F2" w:rsidRDefault="001A190A" w:rsidP="00857F11">
      <w:pPr>
        <w:pStyle w:val="NoSpacing"/>
        <w:rPr>
          <w:sz w:val="24"/>
          <w:szCs w:val="24"/>
        </w:rPr>
      </w:pPr>
      <w:r w:rsidRPr="001A190A">
        <w:rPr>
          <w:sz w:val="24"/>
          <w:szCs w:val="24"/>
        </w:rPr>
        <w:t>Dersom SOM blir utpekt som NPM, mener Juss-Buss at det bør opprettes et rådgivende utvalg som kan bistå NPM i sitt arbeid gjennom regelmessig rapportering om forhold på steder for frihetsberøvelse. Dette utvalget bør best</w:t>
      </w:r>
      <w:r w:rsidR="009371F2">
        <w:rPr>
          <w:sz w:val="24"/>
          <w:szCs w:val="24"/>
        </w:rPr>
        <w:t xml:space="preserve">å av organisasjoner med fagfelt som faller innenfor OPCATs virkeområde. Juss-Buss stiller seg </w:t>
      </w:r>
      <w:r w:rsidR="005B676B">
        <w:rPr>
          <w:sz w:val="24"/>
          <w:szCs w:val="24"/>
        </w:rPr>
        <w:t>til rådighet for en slik oppgave</w:t>
      </w:r>
      <w:r w:rsidR="009371F2">
        <w:rPr>
          <w:sz w:val="24"/>
          <w:szCs w:val="24"/>
        </w:rPr>
        <w:t>.</w:t>
      </w:r>
    </w:p>
    <w:p w:rsidR="009371F2" w:rsidRDefault="009371F2" w:rsidP="00857F11">
      <w:pPr>
        <w:pStyle w:val="NoSpacing"/>
        <w:rPr>
          <w:sz w:val="24"/>
          <w:szCs w:val="24"/>
        </w:rPr>
      </w:pPr>
    </w:p>
    <w:p w:rsidR="009371F2" w:rsidRDefault="009371F2" w:rsidP="00857F11">
      <w:pPr>
        <w:pStyle w:val="NoSpacing"/>
        <w:rPr>
          <w:sz w:val="24"/>
          <w:szCs w:val="24"/>
        </w:rPr>
      </w:pPr>
      <w:r>
        <w:rPr>
          <w:sz w:val="24"/>
          <w:szCs w:val="24"/>
        </w:rPr>
        <w:t xml:space="preserve">Vi er enige med arbeidsgruppen i at et slikt rådgivende utvalg kan tilføre NPM verdifull kompetanse og erfaringer, og vil påpeke at utvalget også kan bidra til at NPM ikke identifiseres med SOM i for stor grad. Videre kan det rådgivende utvalget bidra til å </w:t>
      </w:r>
      <w:r w:rsidR="00D64B06">
        <w:rPr>
          <w:sz w:val="24"/>
          <w:szCs w:val="24"/>
        </w:rPr>
        <w:t>redusere</w:t>
      </w:r>
      <w:r>
        <w:rPr>
          <w:sz w:val="24"/>
          <w:szCs w:val="24"/>
        </w:rPr>
        <w:t xml:space="preserve"> arbeidsmengden for SOM ved at organisasjonene som er representert</w:t>
      </w:r>
      <w:r w:rsidR="005B676B">
        <w:rPr>
          <w:sz w:val="24"/>
          <w:szCs w:val="24"/>
        </w:rPr>
        <w:t>,</w:t>
      </w:r>
      <w:r>
        <w:rPr>
          <w:sz w:val="24"/>
          <w:szCs w:val="24"/>
        </w:rPr>
        <w:t xml:space="preserve"> foretar egne besøk til steder for frihetsberøvelse.</w:t>
      </w:r>
    </w:p>
    <w:p w:rsidR="009371F2" w:rsidRDefault="009371F2" w:rsidP="00857F11">
      <w:pPr>
        <w:pStyle w:val="NoSpacing"/>
        <w:rPr>
          <w:sz w:val="24"/>
          <w:szCs w:val="24"/>
        </w:rPr>
      </w:pPr>
    </w:p>
    <w:p w:rsidR="00857F11" w:rsidRPr="009371F2" w:rsidRDefault="00627B34" w:rsidP="00857F11">
      <w:pPr>
        <w:pStyle w:val="NoSpacing"/>
        <w:rPr>
          <w:sz w:val="24"/>
          <w:szCs w:val="24"/>
        </w:rPr>
      </w:pPr>
      <w:r>
        <w:rPr>
          <w:sz w:val="24"/>
          <w:szCs w:val="24"/>
        </w:rPr>
        <w:t xml:space="preserve">Denne ordningen vil nødvendigvis føre til at SOM får økt behov for ressurser til koordinering av NPMs arbeid. Juss-Buss mener at ressurskravet ikke kan tale mot denne ordningen, da et rådgivende </w:t>
      </w:r>
      <w:r w:rsidR="00D64B06">
        <w:rPr>
          <w:sz w:val="24"/>
          <w:szCs w:val="24"/>
        </w:rPr>
        <w:t xml:space="preserve">utvalg også bidrar til å ivareta at </w:t>
      </w:r>
      <w:r w:rsidR="003F408D">
        <w:rPr>
          <w:sz w:val="24"/>
          <w:szCs w:val="24"/>
        </w:rPr>
        <w:t>sivilt samfunn</w:t>
      </w:r>
      <w:r w:rsidR="00D64B06">
        <w:rPr>
          <w:sz w:val="24"/>
          <w:szCs w:val="24"/>
        </w:rPr>
        <w:t xml:space="preserve"> får kommet med sine innspill til </w:t>
      </w:r>
      <w:r w:rsidR="003F408D">
        <w:rPr>
          <w:sz w:val="24"/>
          <w:szCs w:val="24"/>
        </w:rPr>
        <w:t xml:space="preserve">NPM, noe som vil sikre demokratihensyn. </w:t>
      </w:r>
    </w:p>
    <w:p w:rsidR="00857F11" w:rsidRPr="00BA1A38" w:rsidRDefault="00857F11" w:rsidP="00857F11">
      <w:pPr>
        <w:pStyle w:val="NoSpacing"/>
        <w:rPr>
          <w:sz w:val="22"/>
          <w:szCs w:val="24"/>
        </w:rPr>
      </w:pPr>
    </w:p>
    <w:p w:rsidR="007C6E84" w:rsidRPr="006C719E" w:rsidRDefault="00D64B06" w:rsidP="00857F11">
      <w:pPr>
        <w:pStyle w:val="NoSpacing"/>
        <w:rPr>
          <w:b/>
          <w:sz w:val="24"/>
          <w:szCs w:val="24"/>
        </w:rPr>
      </w:pPr>
      <w:r>
        <w:rPr>
          <w:b/>
          <w:sz w:val="24"/>
          <w:szCs w:val="24"/>
        </w:rPr>
        <w:t>4</w:t>
      </w:r>
      <w:r w:rsidR="00BA1A38">
        <w:rPr>
          <w:b/>
          <w:sz w:val="24"/>
          <w:szCs w:val="24"/>
        </w:rPr>
        <w:t xml:space="preserve">. </w:t>
      </w:r>
      <w:r w:rsidR="00857F11" w:rsidRPr="00BA1A38">
        <w:rPr>
          <w:b/>
          <w:sz w:val="24"/>
          <w:szCs w:val="24"/>
        </w:rPr>
        <w:t xml:space="preserve">Avsluttende bemerkninger </w:t>
      </w:r>
    </w:p>
    <w:p w:rsidR="00CB6757" w:rsidRPr="00CB6757" w:rsidRDefault="00CB6757" w:rsidP="00CB6757">
      <w:pPr>
        <w:pStyle w:val="NoSpacing"/>
        <w:rPr>
          <w:sz w:val="24"/>
        </w:rPr>
      </w:pPr>
      <w:r w:rsidRPr="00CB6757">
        <w:rPr>
          <w:sz w:val="24"/>
        </w:rPr>
        <w:t>Juss-Buss mener at Norge</w:t>
      </w:r>
      <w:r>
        <w:rPr>
          <w:sz w:val="24"/>
        </w:rPr>
        <w:t>,</w:t>
      </w:r>
      <w:r w:rsidRPr="00CB6757">
        <w:rPr>
          <w:sz w:val="24"/>
        </w:rPr>
        <w:t xml:space="preserve"> som et foregangsland på menneskerettighetsområdet, ikke kan la økonomiske hensyn gå foran </w:t>
      </w:r>
      <w:r>
        <w:rPr>
          <w:sz w:val="24"/>
        </w:rPr>
        <w:t xml:space="preserve">formålet med OPCAT. Opprettelsen av en NPM vil nødvendigvis være ressurskrevende, men dette er en pris Norge må være villig til å betale. </w:t>
      </w:r>
    </w:p>
    <w:p w:rsidR="00CB6757" w:rsidRDefault="00CB6757" w:rsidP="00857F11">
      <w:pPr>
        <w:tabs>
          <w:tab w:val="left" w:pos="7380"/>
        </w:tabs>
        <w:spacing w:line="360" w:lineRule="auto"/>
        <w:rPr>
          <w:bCs/>
          <w:sz w:val="24"/>
          <w:szCs w:val="24"/>
        </w:rPr>
      </w:pPr>
    </w:p>
    <w:p w:rsidR="003F408D" w:rsidRDefault="003F408D" w:rsidP="00857F11">
      <w:pPr>
        <w:tabs>
          <w:tab w:val="left" w:pos="7380"/>
        </w:tabs>
        <w:spacing w:line="360" w:lineRule="auto"/>
        <w:rPr>
          <w:bCs/>
          <w:sz w:val="24"/>
          <w:szCs w:val="24"/>
        </w:rPr>
      </w:pPr>
      <w:r>
        <w:rPr>
          <w:bCs/>
          <w:sz w:val="24"/>
          <w:szCs w:val="24"/>
        </w:rPr>
        <w:t>Med vennlig hilsen,</w:t>
      </w:r>
    </w:p>
    <w:p w:rsidR="003F408D" w:rsidRDefault="003F408D" w:rsidP="00857F11">
      <w:pPr>
        <w:tabs>
          <w:tab w:val="left" w:pos="7380"/>
        </w:tabs>
        <w:spacing w:line="360" w:lineRule="auto"/>
        <w:rPr>
          <w:bCs/>
          <w:sz w:val="24"/>
          <w:szCs w:val="24"/>
        </w:rPr>
      </w:pPr>
      <w:r>
        <w:rPr>
          <w:bCs/>
          <w:sz w:val="24"/>
          <w:szCs w:val="24"/>
        </w:rPr>
        <w:t>for fengselsgruppa på Juss-Buss,</w:t>
      </w:r>
    </w:p>
    <w:p w:rsidR="003F408D" w:rsidRDefault="003F408D" w:rsidP="00857F11">
      <w:pPr>
        <w:tabs>
          <w:tab w:val="left" w:pos="7380"/>
        </w:tabs>
        <w:spacing w:line="360" w:lineRule="auto"/>
        <w:rPr>
          <w:bCs/>
          <w:sz w:val="24"/>
          <w:szCs w:val="24"/>
        </w:rPr>
      </w:pPr>
    </w:p>
    <w:p w:rsidR="003F408D" w:rsidRPr="00650599" w:rsidRDefault="00A702F0" w:rsidP="009F2690">
      <w:pPr>
        <w:pStyle w:val="NoSpacing"/>
        <w:rPr>
          <w:sz w:val="24"/>
          <w:lang w:val="nn-NO"/>
        </w:rPr>
      </w:pPr>
      <w:r w:rsidRPr="00650599">
        <w:rPr>
          <w:sz w:val="24"/>
          <w:lang w:val="nn-NO"/>
        </w:rPr>
        <w:t>_______________________                __________________</w:t>
      </w:r>
      <w:r w:rsidR="009F100D" w:rsidRPr="00650599">
        <w:rPr>
          <w:sz w:val="24"/>
          <w:lang w:val="nn-NO"/>
        </w:rPr>
        <w:t>__</w:t>
      </w:r>
      <w:r w:rsidRPr="00650599">
        <w:rPr>
          <w:sz w:val="24"/>
          <w:lang w:val="nn-NO"/>
        </w:rPr>
        <w:t xml:space="preserve">         </w:t>
      </w:r>
      <w:r w:rsidR="009F100D" w:rsidRPr="00650599">
        <w:rPr>
          <w:sz w:val="24"/>
          <w:lang w:val="nn-NO"/>
        </w:rPr>
        <w:t xml:space="preserve"> </w:t>
      </w:r>
      <w:r w:rsidR="009F100D" w:rsidRPr="00650599">
        <w:rPr>
          <w:sz w:val="24"/>
          <w:lang w:val="nn-NO"/>
        </w:rPr>
        <w:tab/>
      </w:r>
      <w:r w:rsidR="00B24C9C" w:rsidRPr="00650599">
        <w:rPr>
          <w:sz w:val="24"/>
          <w:lang w:val="nn-NO"/>
        </w:rPr>
        <w:t>_</w:t>
      </w:r>
      <w:r w:rsidR="009F100D" w:rsidRPr="00650599">
        <w:rPr>
          <w:sz w:val="24"/>
          <w:lang w:val="nn-NO"/>
        </w:rPr>
        <w:t>_</w:t>
      </w:r>
      <w:r w:rsidRPr="00650599">
        <w:rPr>
          <w:sz w:val="24"/>
          <w:lang w:val="nn-NO"/>
        </w:rPr>
        <w:t>_________________</w:t>
      </w:r>
      <w:r w:rsidRPr="00650599">
        <w:rPr>
          <w:sz w:val="24"/>
          <w:lang w:val="nn-NO"/>
        </w:rPr>
        <w:br/>
        <w:t xml:space="preserve">Peder Christian Borgenheim                 </w:t>
      </w:r>
      <w:r w:rsidR="009F100D" w:rsidRPr="00650599">
        <w:rPr>
          <w:sz w:val="24"/>
          <w:lang w:val="nn-NO"/>
        </w:rPr>
        <w:t xml:space="preserve"> </w:t>
      </w:r>
      <w:r w:rsidR="00B24C9C" w:rsidRPr="00650599">
        <w:rPr>
          <w:sz w:val="24"/>
          <w:lang w:val="nn-NO"/>
        </w:rPr>
        <w:t xml:space="preserve"> </w:t>
      </w:r>
      <w:r w:rsidRPr="00650599">
        <w:rPr>
          <w:sz w:val="24"/>
          <w:lang w:val="nn-NO"/>
        </w:rPr>
        <w:t xml:space="preserve">Hedda Larsen Borgan           </w:t>
      </w:r>
      <w:r w:rsidRPr="00650599">
        <w:rPr>
          <w:sz w:val="24"/>
          <w:lang w:val="nn-NO"/>
        </w:rPr>
        <w:tab/>
      </w:r>
      <w:r w:rsidR="00B24C9C" w:rsidRPr="00650599">
        <w:rPr>
          <w:sz w:val="24"/>
          <w:lang w:val="nn-NO"/>
        </w:rPr>
        <w:t xml:space="preserve">  </w:t>
      </w:r>
      <w:r w:rsidRPr="00650599">
        <w:rPr>
          <w:sz w:val="24"/>
          <w:lang w:val="nn-NO"/>
        </w:rPr>
        <w:t>Thea Sjuve Johansen</w:t>
      </w:r>
    </w:p>
    <w:p w:rsidR="009F2690" w:rsidRPr="00650599" w:rsidRDefault="009F2690" w:rsidP="009F2690">
      <w:pPr>
        <w:pStyle w:val="NoSpacing"/>
        <w:rPr>
          <w:sz w:val="24"/>
          <w:lang w:val="nn-NO"/>
        </w:rPr>
      </w:pPr>
    </w:p>
    <w:p w:rsidR="009F2690" w:rsidRPr="00650599" w:rsidRDefault="009F2690" w:rsidP="009F2690">
      <w:pPr>
        <w:pStyle w:val="NoSpacing"/>
        <w:rPr>
          <w:sz w:val="24"/>
          <w:lang w:val="nn-NO"/>
        </w:rPr>
      </w:pPr>
    </w:p>
    <w:p w:rsidR="009F2690" w:rsidRDefault="009F2690" w:rsidP="009F2690">
      <w:pPr>
        <w:pStyle w:val="NoSpacing"/>
        <w:rPr>
          <w:sz w:val="24"/>
        </w:rPr>
      </w:pPr>
      <w:r w:rsidRPr="00650599">
        <w:rPr>
          <w:sz w:val="24"/>
          <w:lang w:val="nn-NO"/>
        </w:rPr>
        <w:t xml:space="preserve">             </w:t>
      </w:r>
      <w:r>
        <w:rPr>
          <w:sz w:val="24"/>
        </w:rPr>
        <w:t xml:space="preserve">_____________________          </w:t>
      </w:r>
      <w:r w:rsidR="005B676B">
        <w:rPr>
          <w:sz w:val="24"/>
        </w:rPr>
        <w:t xml:space="preserve">              </w:t>
      </w:r>
      <w:r>
        <w:rPr>
          <w:sz w:val="24"/>
        </w:rPr>
        <w:t>_____________________</w:t>
      </w:r>
    </w:p>
    <w:p w:rsidR="009F2690" w:rsidRPr="009F2690" w:rsidRDefault="009F2690" w:rsidP="009F2690">
      <w:pPr>
        <w:pStyle w:val="NoSpacing"/>
        <w:rPr>
          <w:sz w:val="24"/>
        </w:rPr>
      </w:pPr>
      <w:r>
        <w:rPr>
          <w:sz w:val="24"/>
        </w:rPr>
        <w:t xml:space="preserve">                 </w:t>
      </w:r>
      <w:r w:rsidRPr="009F2690">
        <w:rPr>
          <w:sz w:val="24"/>
        </w:rPr>
        <w:t>Astrid Nilsen Ervik</w:t>
      </w:r>
      <w:r>
        <w:rPr>
          <w:sz w:val="24"/>
        </w:rPr>
        <w:t xml:space="preserve">                   </w:t>
      </w:r>
      <w:r w:rsidR="005B676B">
        <w:rPr>
          <w:sz w:val="24"/>
        </w:rPr>
        <w:t xml:space="preserve">             </w:t>
      </w:r>
      <w:r>
        <w:rPr>
          <w:sz w:val="24"/>
        </w:rPr>
        <w:t>Ragnhild Moritz-Olsen</w:t>
      </w:r>
    </w:p>
    <w:sectPr w:rsidR="009F2690" w:rsidRPr="009F2690" w:rsidSect="006D3742">
      <w:footerReference w:type="even" r:id="rId9"/>
      <w:footerReference w:type="default" r:id="rId10"/>
      <w:headerReference w:type="first" r:id="rId11"/>
      <w:footerReference w:type="first" r:id="rId12"/>
      <w:pgSz w:w="11906" w:h="16838" w:code="9"/>
      <w:pgMar w:top="1440" w:right="1008" w:bottom="1440" w:left="1008" w:header="576" w:footer="59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12" w:rsidRDefault="00DF2112" w:rsidP="006F61DE">
      <w:r>
        <w:separator/>
      </w:r>
    </w:p>
  </w:endnote>
  <w:endnote w:type="continuationSeparator" w:id="0">
    <w:p w:rsidR="00DF2112" w:rsidRDefault="00DF2112" w:rsidP="006F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12" w:rsidRDefault="00DF2112" w:rsidP="006D3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2112" w:rsidRDefault="00DF2112" w:rsidP="006D3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12" w:rsidRDefault="00DF2112" w:rsidP="006D3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753">
      <w:rPr>
        <w:rStyle w:val="PageNumber"/>
        <w:noProof/>
      </w:rPr>
      <w:t>2</w:t>
    </w:r>
    <w:r>
      <w:rPr>
        <w:rStyle w:val="PageNumber"/>
      </w:rPr>
      <w:fldChar w:fldCharType="end"/>
    </w:r>
  </w:p>
  <w:p w:rsidR="00DF2112" w:rsidRDefault="00DF2112" w:rsidP="006D3742">
    <w:pPr>
      <w:pStyle w:val="Footer"/>
      <w:tabs>
        <w:tab w:val="clear" w:pos="4536"/>
        <w:tab w:val="clear" w:pos="9072"/>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12" w:rsidRDefault="00DF2112">
    <w:pPr>
      <w:pStyle w:val="Footer"/>
      <w:jc w:val="right"/>
    </w:pPr>
    <w:r>
      <w:fldChar w:fldCharType="begin"/>
    </w:r>
    <w:r>
      <w:instrText xml:space="preserve"> PAGE   \* MERGEFORMAT </w:instrText>
    </w:r>
    <w:r>
      <w:fldChar w:fldCharType="separate"/>
    </w:r>
    <w:r w:rsidR="003A7753">
      <w:rPr>
        <w:noProof/>
      </w:rPr>
      <w:t>1</w:t>
    </w:r>
    <w:r>
      <w:rPr>
        <w:noProof/>
      </w:rPr>
      <w:fldChar w:fldCharType="end"/>
    </w:r>
  </w:p>
  <w:p w:rsidR="00DF2112" w:rsidRPr="00850BB0" w:rsidRDefault="00DF2112" w:rsidP="006D3742">
    <w:pPr>
      <w:pStyle w:val="Footer"/>
      <w:tabs>
        <w:tab w:val="clear" w:pos="4536"/>
        <w:tab w:val="clear" w:pos="9072"/>
      </w:tabs>
      <w:jc w:val="center"/>
      <w:rPr>
        <w:rFonts w:ascii="Arial Rounded MT Bold" w:hAnsi="Arial Rounded MT Bold"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12" w:rsidRDefault="00DF2112" w:rsidP="006F61DE">
      <w:r>
        <w:separator/>
      </w:r>
    </w:p>
  </w:footnote>
  <w:footnote w:type="continuationSeparator" w:id="0">
    <w:p w:rsidR="00DF2112" w:rsidRDefault="00DF2112" w:rsidP="006F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12" w:rsidRDefault="00DF2112" w:rsidP="006D3742">
    <w:r>
      <w:rPr>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-20320</wp:posOffset>
          </wp:positionV>
          <wp:extent cx="1876425" cy="934720"/>
          <wp:effectExtent l="19050" t="0" r="9525" b="0"/>
          <wp:wrapTight wrapText="bothSides">
            <wp:wrapPolygon edited="0">
              <wp:start x="-219" y="0"/>
              <wp:lineTo x="-219" y="21130"/>
              <wp:lineTo x="21710" y="21130"/>
              <wp:lineTo x="21710" y="0"/>
              <wp:lineTo x="-219" y="0"/>
            </wp:wrapPolygon>
          </wp:wrapTight>
          <wp:docPr id="1" name="Picture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1"/>
                  <a:srcRect/>
                  <a:stretch>
                    <a:fillRect/>
                  </a:stretch>
                </pic:blipFill>
                <pic:spPr bwMode="auto">
                  <a:xfrm>
                    <a:off x="0" y="0"/>
                    <a:ext cx="1876425" cy="93472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689"/>
      <w:gridCol w:w="4479"/>
    </w:tblGrid>
    <w:tr w:rsidR="00DF2112">
      <w:trPr>
        <w:trHeight w:val="516"/>
      </w:trPr>
      <w:tc>
        <w:tcPr>
          <w:tcW w:w="2938" w:type="dxa"/>
          <w:tcBorders>
            <w:top w:val="nil"/>
            <w:left w:val="nil"/>
            <w:bottom w:val="single" w:sz="4" w:space="0" w:color="auto"/>
            <w:right w:val="nil"/>
          </w:tcBorders>
        </w:tcPr>
        <w:p w:rsidR="00DF2112" w:rsidRDefault="00DF2112" w:rsidP="006D3742">
          <w:pPr>
            <w:pStyle w:val="Header"/>
          </w:pPr>
        </w:p>
        <w:p w:rsidR="00DF2112" w:rsidRDefault="00DF2112" w:rsidP="006D3742">
          <w:pPr>
            <w:pStyle w:val="Header"/>
          </w:pPr>
        </w:p>
        <w:p w:rsidR="00DF2112" w:rsidRDefault="00DF2112" w:rsidP="006D3742">
          <w:pPr>
            <w:pStyle w:val="Header"/>
          </w:pPr>
        </w:p>
        <w:p w:rsidR="00DF2112" w:rsidRDefault="00DF2112" w:rsidP="006D3742">
          <w:pPr>
            <w:pStyle w:val="Header"/>
          </w:pPr>
        </w:p>
        <w:p w:rsidR="00DF2112" w:rsidRDefault="00DF2112" w:rsidP="006D3742">
          <w:pPr>
            <w:pStyle w:val="Header"/>
          </w:pPr>
        </w:p>
      </w:tc>
      <w:tc>
        <w:tcPr>
          <w:tcW w:w="2689" w:type="dxa"/>
          <w:tcBorders>
            <w:top w:val="nil"/>
            <w:left w:val="nil"/>
            <w:bottom w:val="single" w:sz="4" w:space="0" w:color="auto"/>
            <w:right w:val="nil"/>
          </w:tcBorders>
        </w:tcPr>
        <w:p w:rsidR="00DF2112" w:rsidRDefault="00DF2112" w:rsidP="006D3742">
          <w:pPr>
            <w:pStyle w:val="Header"/>
          </w:pPr>
        </w:p>
      </w:tc>
      <w:tc>
        <w:tcPr>
          <w:tcW w:w="4479" w:type="dxa"/>
          <w:tcBorders>
            <w:top w:val="nil"/>
            <w:left w:val="nil"/>
            <w:bottom w:val="single" w:sz="4" w:space="0" w:color="auto"/>
            <w:right w:val="nil"/>
          </w:tcBorders>
        </w:tcPr>
        <w:tbl>
          <w:tblPr>
            <w:tblW w:w="0" w:type="auto"/>
            <w:tblInd w:w="610" w:type="dxa"/>
            <w:tblLook w:val="01E0" w:firstRow="1" w:lastRow="1" w:firstColumn="1" w:lastColumn="1" w:noHBand="0" w:noVBand="0"/>
          </w:tblPr>
          <w:tblGrid>
            <w:gridCol w:w="1514"/>
            <w:gridCol w:w="2124"/>
          </w:tblGrid>
          <w:tr w:rsidR="00DF2112" w:rsidRPr="00D12455">
            <w:tc>
              <w:tcPr>
                <w:tcW w:w="1514" w:type="dxa"/>
              </w:tcPr>
              <w:p w:rsidR="00DF2112" w:rsidRPr="00D12455" w:rsidRDefault="00DF2112" w:rsidP="006D3742">
                <w:pPr>
                  <w:pStyle w:val="Header"/>
                  <w:tabs>
                    <w:tab w:val="left" w:pos="77"/>
                  </w:tabs>
                  <w:ind w:right="147"/>
                  <w:rPr>
                    <w:noProof/>
                    <w:lang w:val="en-US" w:eastAsia="en-US"/>
                  </w:rPr>
                </w:pPr>
                <w:r>
                  <w:t>Arbins gate 7 0253 Oslo</w:t>
                </w:r>
              </w:p>
            </w:tc>
            <w:tc>
              <w:tcPr>
                <w:tcW w:w="2124" w:type="dxa"/>
              </w:tcPr>
              <w:p w:rsidR="00DF2112" w:rsidRPr="00D12455" w:rsidRDefault="00DF2112" w:rsidP="006D3742">
                <w:pPr>
                  <w:pStyle w:val="Header"/>
                  <w:jc w:val="right"/>
                  <w:rPr>
                    <w:noProof/>
                    <w:lang w:val="en-US" w:eastAsia="en-US"/>
                  </w:rPr>
                </w:pPr>
              </w:p>
            </w:tc>
          </w:tr>
          <w:tr w:rsidR="00DF2112" w:rsidRPr="00D12455">
            <w:tc>
              <w:tcPr>
                <w:tcW w:w="1514" w:type="dxa"/>
              </w:tcPr>
              <w:p w:rsidR="00DF2112" w:rsidRDefault="00DF2112" w:rsidP="006D3742">
                <w:pPr>
                  <w:pStyle w:val="BodyText"/>
                  <w:tabs>
                    <w:tab w:val="left" w:pos="77"/>
                  </w:tabs>
                  <w:jc w:val="left"/>
                </w:pPr>
                <w:r>
                  <w:t>Sentralbord</w:t>
                </w:r>
              </w:p>
            </w:tc>
            <w:tc>
              <w:tcPr>
                <w:tcW w:w="2124" w:type="dxa"/>
              </w:tcPr>
              <w:p w:rsidR="00DF2112" w:rsidRDefault="00DF2112" w:rsidP="006D3742">
                <w:pPr>
                  <w:pStyle w:val="BodyText"/>
                </w:pPr>
                <w:r>
                  <w:t>22 84 29 00</w:t>
                </w:r>
              </w:p>
            </w:tc>
          </w:tr>
          <w:tr w:rsidR="00DF2112" w:rsidRPr="00D12455">
            <w:tc>
              <w:tcPr>
                <w:tcW w:w="1514" w:type="dxa"/>
              </w:tcPr>
              <w:p w:rsidR="00DF2112" w:rsidRDefault="00DF2112" w:rsidP="006D3742">
                <w:pPr>
                  <w:pStyle w:val="BodyText"/>
                  <w:tabs>
                    <w:tab w:val="left" w:pos="77"/>
                  </w:tabs>
                  <w:jc w:val="left"/>
                </w:pPr>
                <w:r>
                  <w:t>Telefaks</w:t>
                </w:r>
              </w:p>
            </w:tc>
            <w:tc>
              <w:tcPr>
                <w:tcW w:w="2124" w:type="dxa"/>
              </w:tcPr>
              <w:p w:rsidR="00DF2112" w:rsidRDefault="00DF2112" w:rsidP="006D3742">
                <w:pPr>
                  <w:pStyle w:val="BodyText"/>
                </w:pPr>
                <w:r>
                  <w:t>22 84 29 01</w:t>
                </w:r>
              </w:p>
            </w:tc>
          </w:tr>
          <w:tr w:rsidR="00DF2112" w:rsidRPr="00D542D4">
            <w:tc>
              <w:tcPr>
                <w:tcW w:w="1514" w:type="dxa"/>
              </w:tcPr>
              <w:p w:rsidR="00DF2112" w:rsidRDefault="00DF2112" w:rsidP="006D3742">
                <w:pPr>
                  <w:pStyle w:val="BodyText"/>
                  <w:tabs>
                    <w:tab w:val="left" w:pos="77"/>
                  </w:tabs>
                  <w:jc w:val="left"/>
                </w:pPr>
                <w:r>
                  <w:t>Internett</w:t>
                </w:r>
              </w:p>
            </w:tc>
            <w:tc>
              <w:tcPr>
                <w:tcW w:w="2124" w:type="dxa"/>
              </w:tcPr>
              <w:p w:rsidR="00DF2112" w:rsidRDefault="00DF2112" w:rsidP="006D3742">
                <w:pPr>
                  <w:pStyle w:val="BodyText"/>
                </w:pPr>
                <w:r>
                  <w:t>http://www.jussbuss.no</w:t>
                </w:r>
              </w:p>
            </w:tc>
          </w:tr>
        </w:tbl>
        <w:p w:rsidR="00DF2112" w:rsidRPr="00D542D4" w:rsidRDefault="00DF2112" w:rsidP="006D3742">
          <w:pPr>
            <w:pStyle w:val="Header"/>
            <w:jc w:val="right"/>
            <w:rPr>
              <w:noProof/>
              <w:lang w:eastAsia="en-US"/>
            </w:rPr>
          </w:pPr>
        </w:p>
      </w:tc>
    </w:tr>
    <w:tr w:rsidR="00DF2112">
      <w:tc>
        <w:tcPr>
          <w:tcW w:w="2938" w:type="dxa"/>
          <w:tcBorders>
            <w:top w:val="single" w:sz="4" w:space="0" w:color="auto"/>
            <w:left w:val="nil"/>
            <w:bottom w:val="nil"/>
            <w:right w:val="nil"/>
          </w:tcBorders>
        </w:tcPr>
        <w:p w:rsidR="00DF2112" w:rsidRDefault="00DF2112" w:rsidP="006D3742">
          <w:pPr>
            <w:pStyle w:val="BodyText"/>
            <w:jc w:val="left"/>
          </w:pPr>
          <w:r>
            <w:t>Juss-studentenes rettsinformasjon</w:t>
          </w:r>
        </w:p>
      </w:tc>
      <w:tc>
        <w:tcPr>
          <w:tcW w:w="2689" w:type="dxa"/>
          <w:tcBorders>
            <w:top w:val="single" w:sz="4" w:space="0" w:color="auto"/>
            <w:left w:val="nil"/>
            <w:bottom w:val="nil"/>
            <w:right w:val="nil"/>
          </w:tcBorders>
        </w:tcPr>
        <w:p w:rsidR="00DF2112" w:rsidRDefault="00DF2112" w:rsidP="006D3742">
          <w:pPr>
            <w:pStyle w:val="BodyText"/>
            <w:jc w:val="left"/>
          </w:pPr>
        </w:p>
      </w:tc>
      <w:tc>
        <w:tcPr>
          <w:tcW w:w="4479" w:type="dxa"/>
          <w:tcBorders>
            <w:top w:val="single" w:sz="4" w:space="0" w:color="auto"/>
            <w:left w:val="nil"/>
            <w:bottom w:val="nil"/>
            <w:right w:val="nil"/>
          </w:tcBorders>
        </w:tcPr>
        <w:p w:rsidR="00DF2112" w:rsidRDefault="00DF2112" w:rsidP="006D3742">
          <w:pPr>
            <w:pStyle w:val="BodyText"/>
          </w:pPr>
        </w:p>
      </w:tc>
    </w:tr>
  </w:tbl>
  <w:p w:rsidR="00DF2112" w:rsidRDefault="00DF2112" w:rsidP="006D3742">
    <w:pPr>
      <w:pStyle w:val="Header"/>
      <w:ind w:firstLine="708"/>
    </w:pPr>
  </w:p>
  <w:p w:rsidR="00DF2112" w:rsidRPr="00D22A21" w:rsidRDefault="00DF2112" w:rsidP="006D3742">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BAE"/>
    <w:multiLevelType w:val="hybridMultilevel"/>
    <w:tmpl w:val="34180708"/>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C2C3372"/>
    <w:multiLevelType w:val="multilevel"/>
    <w:tmpl w:val="756E81A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CD35C4"/>
    <w:multiLevelType w:val="hybridMultilevel"/>
    <w:tmpl w:val="DCFE9620"/>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0571A11"/>
    <w:multiLevelType w:val="hybridMultilevel"/>
    <w:tmpl w:val="E9B67D36"/>
    <w:lvl w:ilvl="0" w:tplc="B5D2A7FC">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37818DE"/>
    <w:multiLevelType w:val="hybridMultilevel"/>
    <w:tmpl w:val="4E0C7190"/>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8006E92"/>
    <w:multiLevelType w:val="hybridMultilevel"/>
    <w:tmpl w:val="07C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86707"/>
    <w:multiLevelType w:val="hybridMultilevel"/>
    <w:tmpl w:val="A92EFB7C"/>
    <w:lvl w:ilvl="0" w:tplc="01D0D07C">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04BB7"/>
    <w:multiLevelType w:val="hybridMultilevel"/>
    <w:tmpl w:val="54247F1A"/>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6745EC1"/>
    <w:multiLevelType w:val="hybridMultilevel"/>
    <w:tmpl w:val="5A84D286"/>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88C5051"/>
    <w:multiLevelType w:val="hybridMultilevel"/>
    <w:tmpl w:val="07C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43491"/>
    <w:multiLevelType w:val="hybridMultilevel"/>
    <w:tmpl w:val="FDA2D5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17E80"/>
    <w:multiLevelType w:val="hybridMultilevel"/>
    <w:tmpl w:val="F7B23040"/>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2">
    <w:nsid w:val="3D440A64"/>
    <w:multiLevelType w:val="hybridMultilevel"/>
    <w:tmpl w:val="2AE86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92714"/>
    <w:multiLevelType w:val="hybridMultilevel"/>
    <w:tmpl w:val="1506E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9258F"/>
    <w:multiLevelType w:val="hybridMultilevel"/>
    <w:tmpl w:val="2256931E"/>
    <w:lvl w:ilvl="0" w:tplc="94B422E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DC12D9A"/>
    <w:multiLevelType w:val="hybridMultilevel"/>
    <w:tmpl w:val="34F6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B4A8C"/>
    <w:multiLevelType w:val="hybridMultilevel"/>
    <w:tmpl w:val="6F5A57CA"/>
    <w:lvl w:ilvl="0" w:tplc="B8C296BE">
      <w:numFmt w:val="bullet"/>
      <w:lvlText w:val="-"/>
      <w:lvlJc w:val="left"/>
      <w:pPr>
        <w:ind w:left="720" w:hanging="360"/>
      </w:pPr>
      <w:rPr>
        <w:rFonts w:ascii="Calibri" w:eastAsiaTheme="minorHAns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57A75DE4"/>
    <w:multiLevelType w:val="hybridMultilevel"/>
    <w:tmpl w:val="216C7E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0641B"/>
    <w:multiLevelType w:val="multilevel"/>
    <w:tmpl w:val="747AE2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E06758"/>
    <w:multiLevelType w:val="hybridMultilevel"/>
    <w:tmpl w:val="AFF85196"/>
    <w:lvl w:ilvl="0" w:tplc="17686492">
      <w:start w:val="1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3FE524D"/>
    <w:multiLevelType w:val="hybridMultilevel"/>
    <w:tmpl w:val="B6707D7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66B926E9"/>
    <w:multiLevelType w:val="hybridMultilevel"/>
    <w:tmpl w:val="E9BA23E4"/>
    <w:lvl w:ilvl="0" w:tplc="6F66F7B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70F35D12"/>
    <w:multiLevelType w:val="hybridMultilevel"/>
    <w:tmpl w:val="4004446A"/>
    <w:lvl w:ilvl="0" w:tplc="F50209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037752"/>
    <w:multiLevelType w:val="hybridMultilevel"/>
    <w:tmpl w:val="98543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7DC05C0"/>
    <w:multiLevelType w:val="hybridMultilevel"/>
    <w:tmpl w:val="216C7E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06088"/>
    <w:multiLevelType w:val="hybridMultilevel"/>
    <w:tmpl w:val="34923D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04047"/>
    <w:multiLevelType w:val="hybridMultilevel"/>
    <w:tmpl w:val="734835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3"/>
  </w:num>
  <w:num w:numId="3">
    <w:abstractNumId w:val="21"/>
  </w:num>
  <w:num w:numId="4">
    <w:abstractNumId w:val="6"/>
  </w:num>
  <w:num w:numId="5">
    <w:abstractNumId w:val="17"/>
  </w:num>
  <w:num w:numId="6">
    <w:abstractNumId w:val="22"/>
  </w:num>
  <w:num w:numId="7">
    <w:abstractNumId w:val="24"/>
  </w:num>
  <w:num w:numId="8">
    <w:abstractNumId w:val="25"/>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9"/>
  </w:num>
  <w:num w:numId="15">
    <w:abstractNumId w:val="7"/>
  </w:num>
  <w:num w:numId="16">
    <w:abstractNumId w:val="5"/>
  </w:num>
  <w:num w:numId="17">
    <w:abstractNumId w:val="0"/>
  </w:num>
  <w:num w:numId="18">
    <w:abstractNumId w:val="16"/>
  </w:num>
  <w:num w:numId="19">
    <w:abstractNumId w:val="19"/>
  </w:num>
  <w:num w:numId="20">
    <w:abstractNumId w:val="23"/>
  </w:num>
  <w:num w:numId="21">
    <w:abstractNumId w:val="26"/>
  </w:num>
  <w:num w:numId="22">
    <w:abstractNumId w:val="1"/>
  </w:num>
  <w:num w:numId="23">
    <w:abstractNumId w:val="18"/>
  </w:num>
  <w:num w:numId="24">
    <w:abstractNumId w:val="2"/>
  </w:num>
  <w:num w:numId="25">
    <w:abstractNumId w:val="4"/>
  </w:num>
  <w:num w:numId="26">
    <w:abstractNumId w:val="20"/>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4A"/>
    <w:rsid w:val="00000BDA"/>
    <w:rsid w:val="00001F63"/>
    <w:rsid w:val="0000307E"/>
    <w:rsid w:val="00010E51"/>
    <w:rsid w:val="00017D8A"/>
    <w:rsid w:val="0002227B"/>
    <w:rsid w:val="00031217"/>
    <w:rsid w:val="00034449"/>
    <w:rsid w:val="0004508B"/>
    <w:rsid w:val="0006026A"/>
    <w:rsid w:val="00060C38"/>
    <w:rsid w:val="00067F7B"/>
    <w:rsid w:val="000720BB"/>
    <w:rsid w:val="00081333"/>
    <w:rsid w:val="00083337"/>
    <w:rsid w:val="00092815"/>
    <w:rsid w:val="000A1822"/>
    <w:rsid w:val="000A1978"/>
    <w:rsid w:val="000A210E"/>
    <w:rsid w:val="000A44C7"/>
    <w:rsid w:val="000B318B"/>
    <w:rsid w:val="000B6944"/>
    <w:rsid w:val="000C2FCF"/>
    <w:rsid w:val="000C3172"/>
    <w:rsid w:val="000C5E86"/>
    <w:rsid w:val="000C6A2E"/>
    <w:rsid w:val="000E2990"/>
    <w:rsid w:val="000F16E7"/>
    <w:rsid w:val="000F1D91"/>
    <w:rsid w:val="000F509F"/>
    <w:rsid w:val="0011028B"/>
    <w:rsid w:val="0012615C"/>
    <w:rsid w:val="00127F5C"/>
    <w:rsid w:val="00130191"/>
    <w:rsid w:val="001421C8"/>
    <w:rsid w:val="001427D9"/>
    <w:rsid w:val="001447CE"/>
    <w:rsid w:val="001449EB"/>
    <w:rsid w:val="00144C45"/>
    <w:rsid w:val="00150401"/>
    <w:rsid w:val="00154890"/>
    <w:rsid w:val="001556AB"/>
    <w:rsid w:val="001644BC"/>
    <w:rsid w:val="00172521"/>
    <w:rsid w:val="001760B5"/>
    <w:rsid w:val="001765AF"/>
    <w:rsid w:val="00191C3B"/>
    <w:rsid w:val="001A190A"/>
    <w:rsid w:val="001A589F"/>
    <w:rsid w:val="001B3139"/>
    <w:rsid w:val="001B4446"/>
    <w:rsid w:val="001C40FF"/>
    <w:rsid w:val="001D2126"/>
    <w:rsid w:val="001D222B"/>
    <w:rsid w:val="001F33AB"/>
    <w:rsid w:val="00202F74"/>
    <w:rsid w:val="00210DA1"/>
    <w:rsid w:val="00211324"/>
    <w:rsid w:val="00211FD4"/>
    <w:rsid w:val="00215F4B"/>
    <w:rsid w:val="00232E9A"/>
    <w:rsid w:val="002340E5"/>
    <w:rsid w:val="0023510F"/>
    <w:rsid w:val="00245097"/>
    <w:rsid w:val="002517EB"/>
    <w:rsid w:val="00253639"/>
    <w:rsid w:val="002576CF"/>
    <w:rsid w:val="00264CC6"/>
    <w:rsid w:val="002710F0"/>
    <w:rsid w:val="00281273"/>
    <w:rsid w:val="00290A43"/>
    <w:rsid w:val="00297191"/>
    <w:rsid w:val="002B3A0D"/>
    <w:rsid w:val="002B4891"/>
    <w:rsid w:val="002B629F"/>
    <w:rsid w:val="002C1738"/>
    <w:rsid w:val="002D7E0A"/>
    <w:rsid w:val="002E16A6"/>
    <w:rsid w:val="002F0EB0"/>
    <w:rsid w:val="002F4FA9"/>
    <w:rsid w:val="002F60F2"/>
    <w:rsid w:val="002F75D8"/>
    <w:rsid w:val="003018A7"/>
    <w:rsid w:val="00311230"/>
    <w:rsid w:val="0033669D"/>
    <w:rsid w:val="003371EE"/>
    <w:rsid w:val="0034062A"/>
    <w:rsid w:val="003534AB"/>
    <w:rsid w:val="003829E2"/>
    <w:rsid w:val="00393B68"/>
    <w:rsid w:val="003A0977"/>
    <w:rsid w:val="003A09C6"/>
    <w:rsid w:val="003A185F"/>
    <w:rsid w:val="003A66D0"/>
    <w:rsid w:val="003A7753"/>
    <w:rsid w:val="003B2314"/>
    <w:rsid w:val="003B5397"/>
    <w:rsid w:val="003B63BD"/>
    <w:rsid w:val="003C44D1"/>
    <w:rsid w:val="003C67CF"/>
    <w:rsid w:val="003C78A2"/>
    <w:rsid w:val="003E2D8A"/>
    <w:rsid w:val="003F296E"/>
    <w:rsid w:val="003F3018"/>
    <w:rsid w:val="003F408D"/>
    <w:rsid w:val="003F7C0B"/>
    <w:rsid w:val="00401A80"/>
    <w:rsid w:val="0040691E"/>
    <w:rsid w:val="00410F58"/>
    <w:rsid w:val="00415754"/>
    <w:rsid w:val="004161CD"/>
    <w:rsid w:val="00421D94"/>
    <w:rsid w:val="004351A5"/>
    <w:rsid w:val="00440BF8"/>
    <w:rsid w:val="00442268"/>
    <w:rsid w:val="00442E85"/>
    <w:rsid w:val="0044411F"/>
    <w:rsid w:val="00450B6C"/>
    <w:rsid w:val="00457328"/>
    <w:rsid w:val="004674C9"/>
    <w:rsid w:val="00472453"/>
    <w:rsid w:val="00484ACF"/>
    <w:rsid w:val="00490260"/>
    <w:rsid w:val="004A50F2"/>
    <w:rsid w:val="004B32FD"/>
    <w:rsid w:val="004B482C"/>
    <w:rsid w:val="004B72A7"/>
    <w:rsid w:val="004B7683"/>
    <w:rsid w:val="004E4A82"/>
    <w:rsid w:val="004F62B3"/>
    <w:rsid w:val="00501438"/>
    <w:rsid w:val="00507B96"/>
    <w:rsid w:val="0051216B"/>
    <w:rsid w:val="005222DE"/>
    <w:rsid w:val="00531D16"/>
    <w:rsid w:val="00533DCB"/>
    <w:rsid w:val="005430F0"/>
    <w:rsid w:val="0054692F"/>
    <w:rsid w:val="00546E02"/>
    <w:rsid w:val="00554A8C"/>
    <w:rsid w:val="005562EC"/>
    <w:rsid w:val="00562DBD"/>
    <w:rsid w:val="00571264"/>
    <w:rsid w:val="005757B5"/>
    <w:rsid w:val="005804BE"/>
    <w:rsid w:val="00581371"/>
    <w:rsid w:val="00581878"/>
    <w:rsid w:val="005852B9"/>
    <w:rsid w:val="00591D9A"/>
    <w:rsid w:val="005948A4"/>
    <w:rsid w:val="005A35D3"/>
    <w:rsid w:val="005B676B"/>
    <w:rsid w:val="005C4BDC"/>
    <w:rsid w:val="005D1DCC"/>
    <w:rsid w:val="005E1F42"/>
    <w:rsid w:val="005E4608"/>
    <w:rsid w:val="005E64FC"/>
    <w:rsid w:val="0060192F"/>
    <w:rsid w:val="00601C42"/>
    <w:rsid w:val="00602299"/>
    <w:rsid w:val="0061068D"/>
    <w:rsid w:val="0061613A"/>
    <w:rsid w:val="0061724B"/>
    <w:rsid w:val="006217FA"/>
    <w:rsid w:val="00625197"/>
    <w:rsid w:val="0062654C"/>
    <w:rsid w:val="00627B34"/>
    <w:rsid w:val="00631585"/>
    <w:rsid w:val="006319A8"/>
    <w:rsid w:val="0063348A"/>
    <w:rsid w:val="0065023B"/>
    <w:rsid w:val="00650599"/>
    <w:rsid w:val="0065177C"/>
    <w:rsid w:val="006529FA"/>
    <w:rsid w:val="006531C3"/>
    <w:rsid w:val="006533B9"/>
    <w:rsid w:val="00654244"/>
    <w:rsid w:val="006605CA"/>
    <w:rsid w:val="006667B1"/>
    <w:rsid w:val="00667816"/>
    <w:rsid w:val="00667F14"/>
    <w:rsid w:val="0067269C"/>
    <w:rsid w:val="006741AA"/>
    <w:rsid w:val="00675A26"/>
    <w:rsid w:val="00687E38"/>
    <w:rsid w:val="006A0C11"/>
    <w:rsid w:val="006A6534"/>
    <w:rsid w:val="006B10A2"/>
    <w:rsid w:val="006B321A"/>
    <w:rsid w:val="006B79FC"/>
    <w:rsid w:val="006C719E"/>
    <w:rsid w:val="006D0AB4"/>
    <w:rsid w:val="006D3103"/>
    <w:rsid w:val="006D3742"/>
    <w:rsid w:val="006E06DE"/>
    <w:rsid w:val="006F00FD"/>
    <w:rsid w:val="006F3F67"/>
    <w:rsid w:val="006F61DE"/>
    <w:rsid w:val="0070310E"/>
    <w:rsid w:val="0070505F"/>
    <w:rsid w:val="00732DDA"/>
    <w:rsid w:val="007334C6"/>
    <w:rsid w:val="00743EEB"/>
    <w:rsid w:val="00751D7B"/>
    <w:rsid w:val="007534D6"/>
    <w:rsid w:val="00764459"/>
    <w:rsid w:val="0076485C"/>
    <w:rsid w:val="00767B29"/>
    <w:rsid w:val="00772995"/>
    <w:rsid w:val="007733AC"/>
    <w:rsid w:val="00785189"/>
    <w:rsid w:val="00797435"/>
    <w:rsid w:val="007A16E4"/>
    <w:rsid w:val="007A78B7"/>
    <w:rsid w:val="007B1100"/>
    <w:rsid w:val="007B26CB"/>
    <w:rsid w:val="007B7737"/>
    <w:rsid w:val="007B7BC4"/>
    <w:rsid w:val="007B7E08"/>
    <w:rsid w:val="007C6E84"/>
    <w:rsid w:val="007D1C8B"/>
    <w:rsid w:val="007D4A1A"/>
    <w:rsid w:val="007D6762"/>
    <w:rsid w:val="007E1BED"/>
    <w:rsid w:val="007E629B"/>
    <w:rsid w:val="007F3AE4"/>
    <w:rsid w:val="0080096B"/>
    <w:rsid w:val="008101D9"/>
    <w:rsid w:val="008126FE"/>
    <w:rsid w:val="00816205"/>
    <w:rsid w:val="00830C21"/>
    <w:rsid w:val="00835CF2"/>
    <w:rsid w:val="00837C20"/>
    <w:rsid w:val="00843916"/>
    <w:rsid w:val="00845DBD"/>
    <w:rsid w:val="00846973"/>
    <w:rsid w:val="00857550"/>
    <w:rsid w:val="00857F11"/>
    <w:rsid w:val="0086465F"/>
    <w:rsid w:val="00864E02"/>
    <w:rsid w:val="00873681"/>
    <w:rsid w:val="00883B74"/>
    <w:rsid w:val="008942B4"/>
    <w:rsid w:val="008A3790"/>
    <w:rsid w:val="008A4CA5"/>
    <w:rsid w:val="008A7BEE"/>
    <w:rsid w:val="008D1F24"/>
    <w:rsid w:val="008E432F"/>
    <w:rsid w:val="008E7EEC"/>
    <w:rsid w:val="008F57DA"/>
    <w:rsid w:val="008F758B"/>
    <w:rsid w:val="00900851"/>
    <w:rsid w:val="00904848"/>
    <w:rsid w:val="00907B87"/>
    <w:rsid w:val="0091000D"/>
    <w:rsid w:val="00911FA2"/>
    <w:rsid w:val="00913D5D"/>
    <w:rsid w:val="009140FF"/>
    <w:rsid w:val="009277CD"/>
    <w:rsid w:val="009333E1"/>
    <w:rsid w:val="00933497"/>
    <w:rsid w:val="009371F2"/>
    <w:rsid w:val="00951D26"/>
    <w:rsid w:val="00954A4A"/>
    <w:rsid w:val="00956FDB"/>
    <w:rsid w:val="009756AD"/>
    <w:rsid w:val="009769DC"/>
    <w:rsid w:val="00982155"/>
    <w:rsid w:val="00982279"/>
    <w:rsid w:val="00985D74"/>
    <w:rsid w:val="00997D4B"/>
    <w:rsid w:val="009A4B42"/>
    <w:rsid w:val="009A4F6B"/>
    <w:rsid w:val="009A6A86"/>
    <w:rsid w:val="009B0CA2"/>
    <w:rsid w:val="009B726B"/>
    <w:rsid w:val="009C0496"/>
    <w:rsid w:val="009C3A3B"/>
    <w:rsid w:val="009C45DA"/>
    <w:rsid w:val="009D7CCA"/>
    <w:rsid w:val="009D7E4A"/>
    <w:rsid w:val="009E3BD5"/>
    <w:rsid w:val="009E614F"/>
    <w:rsid w:val="009F100D"/>
    <w:rsid w:val="009F2690"/>
    <w:rsid w:val="009F7CA3"/>
    <w:rsid w:val="00A076C9"/>
    <w:rsid w:val="00A14C07"/>
    <w:rsid w:val="00A23709"/>
    <w:rsid w:val="00A4784A"/>
    <w:rsid w:val="00A51F3A"/>
    <w:rsid w:val="00A55716"/>
    <w:rsid w:val="00A702F0"/>
    <w:rsid w:val="00A7597B"/>
    <w:rsid w:val="00A844CD"/>
    <w:rsid w:val="00A857EC"/>
    <w:rsid w:val="00A93AAB"/>
    <w:rsid w:val="00A962FA"/>
    <w:rsid w:val="00AA3448"/>
    <w:rsid w:val="00AB26A1"/>
    <w:rsid w:val="00AC6F43"/>
    <w:rsid w:val="00AE7694"/>
    <w:rsid w:val="00AF4C47"/>
    <w:rsid w:val="00AF5195"/>
    <w:rsid w:val="00AF764C"/>
    <w:rsid w:val="00B00292"/>
    <w:rsid w:val="00B15EB4"/>
    <w:rsid w:val="00B247C5"/>
    <w:rsid w:val="00B24813"/>
    <w:rsid w:val="00B24C9C"/>
    <w:rsid w:val="00B4656A"/>
    <w:rsid w:val="00B56611"/>
    <w:rsid w:val="00B57E62"/>
    <w:rsid w:val="00B62608"/>
    <w:rsid w:val="00B7570C"/>
    <w:rsid w:val="00B82548"/>
    <w:rsid w:val="00B82DED"/>
    <w:rsid w:val="00B87F95"/>
    <w:rsid w:val="00B97B7B"/>
    <w:rsid w:val="00BA08F1"/>
    <w:rsid w:val="00BA0C9D"/>
    <w:rsid w:val="00BA1A38"/>
    <w:rsid w:val="00BA3B14"/>
    <w:rsid w:val="00BA6F5F"/>
    <w:rsid w:val="00BA7C79"/>
    <w:rsid w:val="00BB1E33"/>
    <w:rsid w:val="00BC5C1E"/>
    <w:rsid w:val="00BF0373"/>
    <w:rsid w:val="00BF1B78"/>
    <w:rsid w:val="00BF4006"/>
    <w:rsid w:val="00C01C03"/>
    <w:rsid w:val="00C049D0"/>
    <w:rsid w:val="00C107DC"/>
    <w:rsid w:val="00C1289F"/>
    <w:rsid w:val="00C161D7"/>
    <w:rsid w:val="00C20A11"/>
    <w:rsid w:val="00C24C6C"/>
    <w:rsid w:val="00C31D4F"/>
    <w:rsid w:val="00C35185"/>
    <w:rsid w:val="00C37BC4"/>
    <w:rsid w:val="00C44BB0"/>
    <w:rsid w:val="00C52644"/>
    <w:rsid w:val="00C61048"/>
    <w:rsid w:val="00C62A4C"/>
    <w:rsid w:val="00C6554C"/>
    <w:rsid w:val="00C656CF"/>
    <w:rsid w:val="00C760D4"/>
    <w:rsid w:val="00C8753D"/>
    <w:rsid w:val="00CA3CE2"/>
    <w:rsid w:val="00CB42BC"/>
    <w:rsid w:val="00CB519A"/>
    <w:rsid w:val="00CB6757"/>
    <w:rsid w:val="00CC0326"/>
    <w:rsid w:val="00CC3D1F"/>
    <w:rsid w:val="00CD6006"/>
    <w:rsid w:val="00CD74CB"/>
    <w:rsid w:val="00CE682F"/>
    <w:rsid w:val="00CF09F1"/>
    <w:rsid w:val="00CF6B9B"/>
    <w:rsid w:val="00D03997"/>
    <w:rsid w:val="00D04CA7"/>
    <w:rsid w:val="00D17E97"/>
    <w:rsid w:val="00D226CC"/>
    <w:rsid w:val="00D27AE4"/>
    <w:rsid w:val="00D36536"/>
    <w:rsid w:val="00D42ED9"/>
    <w:rsid w:val="00D4402E"/>
    <w:rsid w:val="00D4639F"/>
    <w:rsid w:val="00D60180"/>
    <w:rsid w:val="00D62E50"/>
    <w:rsid w:val="00D64B06"/>
    <w:rsid w:val="00D64DF9"/>
    <w:rsid w:val="00D7600E"/>
    <w:rsid w:val="00D87DE2"/>
    <w:rsid w:val="00D9135D"/>
    <w:rsid w:val="00DA1A65"/>
    <w:rsid w:val="00DA243C"/>
    <w:rsid w:val="00DA24CE"/>
    <w:rsid w:val="00DA60F7"/>
    <w:rsid w:val="00DB11A1"/>
    <w:rsid w:val="00DC3A8B"/>
    <w:rsid w:val="00DC7B5E"/>
    <w:rsid w:val="00DF1164"/>
    <w:rsid w:val="00DF11C8"/>
    <w:rsid w:val="00DF2112"/>
    <w:rsid w:val="00DF3213"/>
    <w:rsid w:val="00DF49D9"/>
    <w:rsid w:val="00DF5C4F"/>
    <w:rsid w:val="00DF6D29"/>
    <w:rsid w:val="00E00F52"/>
    <w:rsid w:val="00E045BB"/>
    <w:rsid w:val="00E11E40"/>
    <w:rsid w:val="00E12A60"/>
    <w:rsid w:val="00E164FE"/>
    <w:rsid w:val="00E22935"/>
    <w:rsid w:val="00E23B4F"/>
    <w:rsid w:val="00E23CE0"/>
    <w:rsid w:val="00E24407"/>
    <w:rsid w:val="00E26954"/>
    <w:rsid w:val="00E33766"/>
    <w:rsid w:val="00E50BC9"/>
    <w:rsid w:val="00E57FEC"/>
    <w:rsid w:val="00E61780"/>
    <w:rsid w:val="00E61986"/>
    <w:rsid w:val="00E75218"/>
    <w:rsid w:val="00E809F9"/>
    <w:rsid w:val="00E94DCA"/>
    <w:rsid w:val="00E965A9"/>
    <w:rsid w:val="00E966DD"/>
    <w:rsid w:val="00EA0DE6"/>
    <w:rsid w:val="00EC473D"/>
    <w:rsid w:val="00ED380E"/>
    <w:rsid w:val="00ED6DC4"/>
    <w:rsid w:val="00EF2D26"/>
    <w:rsid w:val="00F00861"/>
    <w:rsid w:val="00F00B7D"/>
    <w:rsid w:val="00F17267"/>
    <w:rsid w:val="00F2465E"/>
    <w:rsid w:val="00F31044"/>
    <w:rsid w:val="00F31DA2"/>
    <w:rsid w:val="00F56E1F"/>
    <w:rsid w:val="00F719E4"/>
    <w:rsid w:val="00F755C1"/>
    <w:rsid w:val="00F80DF4"/>
    <w:rsid w:val="00FA500A"/>
    <w:rsid w:val="00FA5688"/>
    <w:rsid w:val="00FB151E"/>
    <w:rsid w:val="00FB57D6"/>
    <w:rsid w:val="00FB62BA"/>
    <w:rsid w:val="00FD35E3"/>
    <w:rsid w:val="00FE11E8"/>
    <w:rsid w:val="00FE2BCF"/>
    <w:rsid w:val="00FF028F"/>
    <w:rsid w:val="00FF2997"/>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4A"/>
    <w:pPr>
      <w:spacing w:after="0" w:line="240" w:lineRule="auto"/>
    </w:pPr>
    <w:rPr>
      <w:rFonts w:ascii="Times New Roman" w:eastAsia="Times New Roman" w:hAnsi="Times New Roman" w:cs="Times New Roman"/>
      <w:sz w:val="20"/>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84A"/>
    <w:pPr>
      <w:tabs>
        <w:tab w:val="center" w:pos="4536"/>
        <w:tab w:val="right" w:pos="9072"/>
      </w:tabs>
    </w:pPr>
  </w:style>
  <w:style w:type="character" w:customStyle="1" w:styleId="HeaderChar">
    <w:name w:val="Header Char"/>
    <w:basedOn w:val="DefaultParagraphFont"/>
    <w:link w:val="Header"/>
    <w:rsid w:val="00A4784A"/>
    <w:rPr>
      <w:rFonts w:ascii="Times New Roman" w:eastAsia="Times New Roman" w:hAnsi="Times New Roman" w:cs="Times New Roman"/>
      <w:sz w:val="20"/>
      <w:szCs w:val="20"/>
      <w:lang w:val="nb-NO" w:eastAsia="nb-NO"/>
    </w:rPr>
  </w:style>
  <w:style w:type="paragraph" w:styleId="Footer">
    <w:name w:val="footer"/>
    <w:basedOn w:val="Normal"/>
    <w:link w:val="FooterChar"/>
    <w:uiPriority w:val="99"/>
    <w:rsid w:val="00A4784A"/>
    <w:pPr>
      <w:tabs>
        <w:tab w:val="center" w:pos="4536"/>
        <w:tab w:val="right" w:pos="9072"/>
      </w:tabs>
    </w:pPr>
  </w:style>
  <w:style w:type="character" w:customStyle="1" w:styleId="FooterChar">
    <w:name w:val="Footer Char"/>
    <w:basedOn w:val="DefaultParagraphFont"/>
    <w:link w:val="Footer"/>
    <w:uiPriority w:val="99"/>
    <w:rsid w:val="00A4784A"/>
    <w:rPr>
      <w:rFonts w:ascii="Times New Roman" w:eastAsia="Times New Roman" w:hAnsi="Times New Roman" w:cs="Times New Roman"/>
      <w:sz w:val="20"/>
      <w:szCs w:val="20"/>
      <w:lang w:val="nb-NO" w:eastAsia="nb-NO"/>
    </w:rPr>
  </w:style>
  <w:style w:type="paragraph" w:styleId="BodyText">
    <w:name w:val="Body Text"/>
    <w:basedOn w:val="Normal"/>
    <w:link w:val="BodyTextChar"/>
    <w:rsid w:val="00A4784A"/>
    <w:pPr>
      <w:jc w:val="right"/>
    </w:pPr>
  </w:style>
  <w:style w:type="character" w:customStyle="1" w:styleId="BodyTextChar">
    <w:name w:val="Body Text Char"/>
    <w:basedOn w:val="DefaultParagraphFont"/>
    <w:link w:val="BodyText"/>
    <w:rsid w:val="00A4784A"/>
    <w:rPr>
      <w:rFonts w:ascii="Times New Roman" w:eastAsia="Times New Roman" w:hAnsi="Times New Roman" w:cs="Times New Roman"/>
      <w:sz w:val="20"/>
      <w:szCs w:val="20"/>
      <w:lang w:val="nb-NO" w:eastAsia="nb-NO"/>
    </w:rPr>
  </w:style>
  <w:style w:type="character" w:styleId="PageNumber">
    <w:name w:val="page number"/>
    <w:basedOn w:val="DefaultParagraphFont"/>
    <w:rsid w:val="00A4784A"/>
  </w:style>
  <w:style w:type="paragraph" w:styleId="ListParagraph">
    <w:name w:val="List Paragraph"/>
    <w:basedOn w:val="Normal"/>
    <w:uiPriority w:val="34"/>
    <w:qFormat/>
    <w:rsid w:val="00A4784A"/>
    <w:pPr>
      <w:spacing w:after="200" w:line="276" w:lineRule="auto"/>
      <w:ind w:left="720"/>
      <w:contextualSpacing/>
    </w:pPr>
    <w:rPr>
      <w:rFonts w:ascii="Calibri" w:hAnsi="Calibri"/>
      <w:sz w:val="22"/>
      <w:szCs w:val="22"/>
      <w:lang w:val="en-US" w:eastAsia="en-US"/>
    </w:rPr>
  </w:style>
  <w:style w:type="paragraph" w:styleId="CommentText">
    <w:name w:val="annotation text"/>
    <w:basedOn w:val="Normal"/>
    <w:link w:val="CommentTextChar"/>
    <w:unhideWhenUsed/>
    <w:rsid w:val="00A4784A"/>
  </w:style>
  <w:style w:type="character" w:customStyle="1" w:styleId="CommentTextChar">
    <w:name w:val="Comment Text Char"/>
    <w:basedOn w:val="DefaultParagraphFont"/>
    <w:link w:val="CommentText"/>
    <w:rsid w:val="00A4784A"/>
    <w:rPr>
      <w:rFonts w:ascii="Times New Roman" w:eastAsia="Times New Roman" w:hAnsi="Times New Roman" w:cs="Times New Roman"/>
      <w:sz w:val="20"/>
      <w:szCs w:val="20"/>
      <w:lang w:val="nb-NO" w:eastAsia="nb-NO"/>
    </w:rPr>
  </w:style>
  <w:style w:type="character" w:styleId="CommentReference">
    <w:name w:val="annotation reference"/>
    <w:basedOn w:val="DefaultParagraphFont"/>
    <w:rsid w:val="00A4784A"/>
    <w:rPr>
      <w:sz w:val="16"/>
      <w:szCs w:val="16"/>
    </w:rPr>
  </w:style>
  <w:style w:type="paragraph" w:styleId="BalloonText">
    <w:name w:val="Balloon Text"/>
    <w:basedOn w:val="Normal"/>
    <w:link w:val="BalloonTextChar"/>
    <w:uiPriority w:val="99"/>
    <w:semiHidden/>
    <w:unhideWhenUsed/>
    <w:rsid w:val="00A4784A"/>
    <w:rPr>
      <w:rFonts w:ascii="Tahoma" w:hAnsi="Tahoma" w:cs="Tahoma"/>
      <w:sz w:val="16"/>
      <w:szCs w:val="16"/>
    </w:rPr>
  </w:style>
  <w:style w:type="character" w:customStyle="1" w:styleId="BalloonTextChar">
    <w:name w:val="Balloon Text Char"/>
    <w:basedOn w:val="DefaultParagraphFont"/>
    <w:link w:val="BalloonText"/>
    <w:uiPriority w:val="99"/>
    <w:semiHidden/>
    <w:rsid w:val="00A4784A"/>
    <w:rPr>
      <w:rFonts w:ascii="Tahoma" w:eastAsia="Times New Roman" w:hAnsi="Tahoma" w:cs="Tahoma"/>
      <w:sz w:val="16"/>
      <w:szCs w:val="16"/>
      <w:lang w:val="nb-NO" w:eastAsia="nb-NO"/>
    </w:rPr>
  </w:style>
  <w:style w:type="paragraph" w:styleId="CommentSubject">
    <w:name w:val="annotation subject"/>
    <w:basedOn w:val="CommentText"/>
    <w:next w:val="CommentText"/>
    <w:link w:val="CommentSubjectChar"/>
    <w:uiPriority w:val="99"/>
    <w:semiHidden/>
    <w:unhideWhenUsed/>
    <w:rsid w:val="00281273"/>
    <w:rPr>
      <w:b/>
      <w:bCs/>
    </w:rPr>
  </w:style>
  <w:style w:type="character" w:customStyle="1" w:styleId="CommentSubjectChar">
    <w:name w:val="Comment Subject Char"/>
    <w:basedOn w:val="CommentTextChar"/>
    <w:link w:val="CommentSubject"/>
    <w:uiPriority w:val="99"/>
    <w:semiHidden/>
    <w:rsid w:val="00281273"/>
    <w:rPr>
      <w:rFonts w:ascii="Times New Roman" w:eastAsia="Times New Roman" w:hAnsi="Times New Roman" w:cs="Times New Roman"/>
      <w:b/>
      <w:bCs/>
      <w:sz w:val="20"/>
      <w:szCs w:val="20"/>
      <w:lang w:val="nb-NO" w:eastAsia="nb-NO"/>
    </w:rPr>
  </w:style>
  <w:style w:type="paragraph" w:styleId="NoSpacing">
    <w:name w:val="No Spacing"/>
    <w:uiPriority w:val="1"/>
    <w:qFormat/>
    <w:rsid w:val="00857F11"/>
    <w:pPr>
      <w:spacing w:after="0" w:line="240" w:lineRule="auto"/>
    </w:pPr>
    <w:rPr>
      <w:rFonts w:ascii="Times New Roman" w:eastAsia="Times New Roman" w:hAnsi="Times New Roman" w:cs="Times New Roman"/>
      <w:sz w:val="20"/>
      <w:szCs w:val="20"/>
      <w:lang w:val="nb-NO" w:eastAsia="nb-NO"/>
    </w:rPr>
  </w:style>
  <w:style w:type="character" w:customStyle="1" w:styleId="apple-converted-space">
    <w:name w:val="apple-converted-space"/>
    <w:basedOn w:val="DefaultParagraphFont"/>
    <w:rsid w:val="00835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4A"/>
    <w:pPr>
      <w:spacing w:after="0" w:line="240" w:lineRule="auto"/>
    </w:pPr>
    <w:rPr>
      <w:rFonts w:ascii="Times New Roman" w:eastAsia="Times New Roman" w:hAnsi="Times New Roman" w:cs="Times New Roman"/>
      <w:sz w:val="20"/>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84A"/>
    <w:pPr>
      <w:tabs>
        <w:tab w:val="center" w:pos="4536"/>
        <w:tab w:val="right" w:pos="9072"/>
      </w:tabs>
    </w:pPr>
  </w:style>
  <w:style w:type="character" w:customStyle="1" w:styleId="HeaderChar">
    <w:name w:val="Header Char"/>
    <w:basedOn w:val="DefaultParagraphFont"/>
    <w:link w:val="Header"/>
    <w:rsid w:val="00A4784A"/>
    <w:rPr>
      <w:rFonts w:ascii="Times New Roman" w:eastAsia="Times New Roman" w:hAnsi="Times New Roman" w:cs="Times New Roman"/>
      <w:sz w:val="20"/>
      <w:szCs w:val="20"/>
      <w:lang w:val="nb-NO" w:eastAsia="nb-NO"/>
    </w:rPr>
  </w:style>
  <w:style w:type="paragraph" w:styleId="Footer">
    <w:name w:val="footer"/>
    <w:basedOn w:val="Normal"/>
    <w:link w:val="FooterChar"/>
    <w:uiPriority w:val="99"/>
    <w:rsid w:val="00A4784A"/>
    <w:pPr>
      <w:tabs>
        <w:tab w:val="center" w:pos="4536"/>
        <w:tab w:val="right" w:pos="9072"/>
      </w:tabs>
    </w:pPr>
  </w:style>
  <w:style w:type="character" w:customStyle="1" w:styleId="FooterChar">
    <w:name w:val="Footer Char"/>
    <w:basedOn w:val="DefaultParagraphFont"/>
    <w:link w:val="Footer"/>
    <w:uiPriority w:val="99"/>
    <w:rsid w:val="00A4784A"/>
    <w:rPr>
      <w:rFonts w:ascii="Times New Roman" w:eastAsia="Times New Roman" w:hAnsi="Times New Roman" w:cs="Times New Roman"/>
      <w:sz w:val="20"/>
      <w:szCs w:val="20"/>
      <w:lang w:val="nb-NO" w:eastAsia="nb-NO"/>
    </w:rPr>
  </w:style>
  <w:style w:type="paragraph" w:styleId="BodyText">
    <w:name w:val="Body Text"/>
    <w:basedOn w:val="Normal"/>
    <w:link w:val="BodyTextChar"/>
    <w:rsid w:val="00A4784A"/>
    <w:pPr>
      <w:jc w:val="right"/>
    </w:pPr>
  </w:style>
  <w:style w:type="character" w:customStyle="1" w:styleId="BodyTextChar">
    <w:name w:val="Body Text Char"/>
    <w:basedOn w:val="DefaultParagraphFont"/>
    <w:link w:val="BodyText"/>
    <w:rsid w:val="00A4784A"/>
    <w:rPr>
      <w:rFonts w:ascii="Times New Roman" w:eastAsia="Times New Roman" w:hAnsi="Times New Roman" w:cs="Times New Roman"/>
      <w:sz w:val="20"/>
      <w:szCs w:val="20"/>
      <w:lang w:val="nb-NO" w:eastAsia="nb-NO"/>
    </w:rPr>
  </w:style>
  <w:style w:type="character" w:styleId="PageNumber">
    <w:name w:val="page number"/>
    <w:basedOn w:val="DefaultParagraphFont"/>
    <w:rsid w:val="00A4784A"/>
  </w:style>
  <w:style w:type="paragraph" w:styleId="ListParagraph">
    <w:name w:val="List Paragraph"/>
    <w:basedOn w:val="Normal"/>
    <w:uiPriority w:val="34"/>
    <w:qFormat/>
    <w:rsid w:val="00A4784A"/>
    <w:pPr>
      <w:spacing w:after="200" w:line="276" w:lineRule="auto"/>
      <w:ind w:left="720"/>
      <w:contextualSpacing/>
    </w:pPr>
    <w:rPr>
      <w:rFonts w:ascii="Calibri" w:hAnsi="Calibri"/>
      <w:sz w:val="22"/>
      <w:szCs w:val="22"/>
      <w:lang w:val="en-US" w:eastAsia="en-US"/>
    </w:rPr>
  </w:style>
  <w:style w:type="paragraph" w:styleId="CommentText">
    <w:name w:val="annotation text"/>
    <w:basedOn w:val="Normal"/>
    <w:link w:val="CommentTextChar"/>
    <w:unhideWhenUsed/>
    <w:rsid w:val="00A4784A"/>
  </w:style>
  <w:style w:type="character" w:customStyle="1" w:styleId="CommentTextChar">
    <w:name w:val="Comment Text Char"/>
    <w:basedOn w:val="DefaultParagraphFont"/>
    <w:link w:val="CommentText"/>
    <w:rsid w:val="00A4784A"/>
    <w:rPr>
      <w:rFonts w:ascii="Times New Roman" w:eastAsia="Times New Roman" w:hAnsi="Times New Roman" w:cs="Times New Roman"/>
      <w:sz w:val="20"/>
      <w:szCs w:val="20"/>
      <w:lang w:val="nb-NO" w:eastAsia="nb-NO"/>
    </w:rPr>
  </w:style>
  <w:style w:type="character" w:styleId="CommentReference">
    <w:name w:val="annotation reference"/>
    <w:basedOn w:val="DefaultParagraphFont"/>
    <w:rsid w:val="00A4784A"/>
    <w:rPr>
      <w:sz w:val="16"/>
      <w:szCs w:val="16"/>
    </w:rPr>
  </w:style>
  <w:style w:type="paragraph" w:styleId="BalloonText">
    <w:name w:val="Balloon Text"/>
    <w:basedOn w:val="Normal"/>
    <w:link w:val="BalloonTextChar"/>
    <w:uiPriority w:val="99"/>
    <w:semiHidden/>
    <w:unhideWhenUsed/>
    <w:rsid w:val="00A4784A"/>
    <w:rPr>
      <w:rFonts w:ascii="Tahoma" w:hAnsi="Tahoma" w:cs="Tahoma"/>
      <w:sz w:val="16"/>
      <w:szCs w:val="16"/>
    </w:rPr>
  </w:style>
  <w:style w:type="character" w:customStyle="1" w:styleId="BalloonTextChar">
    <w:name w:val="Balloon Text Char"/>
    <w:basedOn w:val="DefaultParagraphFont"/>
    <w:link w:val="BalloonText"/>
    <w:uiPriority w:val="99"/>
    <w:semiHidden/>
    <w:rsid w:val="00A4784A"/>
    <w:rPr>
      <w:rFonts w:ascii="Tahoma" w:eastAsia="Times New Roman" w:hAnsi="Tahoma" w:cs="Tahoma"/>
      <w:sz w:val="16"/>
      <w:szCs w:val="16"/>
      <w:lang w:val="nb-NO" w:eastAsia="nb-NO"/>
    </w:rPr>
  </w:style>
  <w:style w:type="paragraph" w:styleId="CommentSubject">
    <w:name w:val="annotation subject"/>
    <w:basedOn w:val="CommentText"/>
    <w:next w:val="CommentText"/>
    <w:link w:val="CommentSubjectChar"/>
    <w:uiPriority w:val="99"/>
    <w:semiHidden/>
    <w:unhideWhenUsed/>
    <w:rsid w:val="00281273"/>
    <w:rPr>
      <w:b/>
      <w:bCs/>
    </w:rPr>
  </w:style>
  <w:style w:type="character" w:customStyle="1" w:styleId="CommentSubjectChar">
    <w:name w:val="Comment Subject Char"/>
    <w:basedOn w:val="CommentTextChar"/>
    <w:link w:val="CommentSubject"/>
    <w:uiPriority w:val="99"/>
    <w:semiHidden/>
    <w:rsid w:val="00281273"/>
    <w:rPr>
      <w:rFonts w:ascii="Times New Roman" w:eastAsia="Times New Roman" w:hAnsi="Times New Roman" w:cs="Times New Roman"/>
      <w:b/>
      <w:bCs/>
      <w:sz w:val="20"/>
      <w:szCs w:val="20"/>
      <w:lang w:val="nb-NO" w:eastAsia="nb-NO"/>
    </w:rPr>
  </w:style>
  <w:style w:type="paragraph" w:styleId="NoSpacing">
    <w:name w:val="No Spacing"/>
    <w:uiPriority w:val="1"/>
    <w:qFormat/>
    <w:rsid w:val="00857F11"/>
    <w:pPr>
      <w:spacing w:after="0" w:line="240" w:lineRule="auto"/>
    </w:pPr>
    <w:rPr>
      <w:rFonts w:ascii="Times New Roman" w:eastAsia="Times New Roman" w:hAnsi="Times New Roman" w:cs="Times New Roman"/>
      <w:sz w:val="20"/>
      <w:szCs w:val="20"/>
      <w:lang w:val="nb-NO" w:eastAsia="nb-NO"/>
    </w:rPr>
  </w:style>
  <w:style w:type="character" w:customStyle="1" w:styleId="apple-converted-space">
    <w:name w:val="apple-converted-space"/>
    <w:basedOn w:val="DefaultParagraphFont"/>
    <w:rsid w:val="0083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23843">
      <w:bodyDiv w:val="1"/>
      <w:marLeft w:val="0"/>
      <w:marRight w:val="0"/>
      <w:marTop w:val="0"/>
      <w:marBottom w:val="0"/>
      <w:divBdr>
        <w:top w:val="none" w:sz="0" w:space="0" w:color="auto"/>
        <w:left w:val="none" w:sz="0" w:space="0" w:color="auto"/>
        <w:bottom w:val="none" w:sz="0" w:space="0" w:color="auto"/>
        <w:right w:val="none" w:sz="0" w:space="0" w:color="auto"/>
      </w:divBdr>
    </w:div>
    <w:div w:id="1011486963">
      <w:bodyDiv w:val="1"/>
      <w:marLeft w:val="0"/>
      <w:marRight w:val="0"/>
      <w:marTop w:val="0"/>
      <w:marBottom w:val="0"/>
      <w:divBdr>
        <w:top w:val="none" w:sz="0" w:space="0" w:color="auto"/>
        <w:left w:val="none" w:sz="0" w:space="0" w:color="auto"/>
        <w:bottom w:val="none" w:sz="0" w:space="0" w:color="auto"/>
        <w:right w:val="none" w:sz="0" w:space="0" w:color="auto"/>
      </w:divBdr>
    </w:div>
    <w:div w:id="1312254464">
      <w:bodyDiv w:val="1"/>
      <w:marLeft w:val="0"/>
      <w:marRight w:val="0"/>
      <w:marTop w:val="0"/>
      <w:marBottom w:val="0"/>
      <w:divBdr>
        <w:top w:val="none" w:sz="0" w:space="0" w:color="auto"/>
        <w:left w:val="none" w:sz="0" w:space="0" w:color="auto"/>
        <w:bottom w:val="none" w:sz="0" w:space="0" w:color="auto"/>
        <w:right w:val="none" w:sz="0" w:space="0" w:color="auto"/>
      </w:divBdr>
    </w:div>
    <w:div w:id="1507790445">
      <w:bodyDiv w:val="1"/>
      <w:marLeft w:val="0"/>
      <w:marRight w:val="0"/>
      <w:marTop w:val="0"/>
      <w:marBottom w:val="0"/>
      <w:divBdr>
        <w:top w:val="none" w:sz="0" w:space="0" w:color="auto"/>
        <w:left w:val="none" w:sz="0" w:space="0" w:color="auto"/>
        <w:bottom w:val="none" w:sz="0" w:space="0" w:color="auto"/>
        <w:right w:val="none" w:sz="0" w:space="0" w:color="auto"/>
      </w:divBdr>
    </w:div>
    <w:div w:id="2018922019">
      <w:bodyDiv w:val="1"/>
      <w:marLeft w:val="0"/>
      <w:marRight w:val="0"/>
      <w:marTop w:val="0"/>
      <w:marBottom w:val="0"/>
      <w:divBdr>
        <w:top w:val="none" w:sz="0" w:space="0" w:color="auto"/>
        <w:left w:val="none" w:sz="0" w:space="0" w:color="auto"/>
        <w:bottom w:val="none" w:sz="0" w:space="0" w:color="auto"/>
        <w:right w:val="none" w:sz="0" w:space="0" w:color="auto"/>
      </w:divBdr>
    </w:div>
    <w:div w:id="20454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2D03-C69B-44B3-AE78-A4155452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7962</Characters>
  <Application>Microsoft Office Word</Application>
  <DocSecurity>0</DocSecurity>
  <Lines>66</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Oslo</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Hedda Larsen Borgan</dc:creator>
  <cp:lastModifiedBy>Astrid Iversen</cp:lastModifiedBy>
  <cp:revision>2</cp:revision>
  <cp:lastPrinted>2011-11-09T12:39:00Z</cp:lastPrinted>
  <dcterms:created xsi:type="dcterms:W3CDTF">2012-11-13T17:45:00Z</dcterms:created>
  <dcterms:modified xsi:type="dcterms:W3CDTF">2012-11-13T17:45:00Z</dcterms:modified>
</cp:coreProperties>
</file>