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9513D2" w:rsidRPr="00BD5576" w:rsidTr="00D32EFF">
        <w:trPr>
          <w:trHeight w:val="1376"/>
        </w:trPr>
        <w:tc>
          <w:tcPr>
            <w:tcW w:w="7513" w:type="dxa"/>
          </w:tcPr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Arbeidsdepartementet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  <w:proofErr w:type="spellStart"/>
            <w:r w:rsidRPr="00BD5576">
              <w:rPr>
                <w:b/>
                <w:bCs/>
                <w:sz w:val="24"/>
                <w:lang w:val="de-DE"/>
              </w:rPr>
              <w:t>Postboks</w:t>
            </w:r>
            <w:proofErr w:type="spellEnd"/>
            <w:r w:rsidRPr="00BD5576">
              <w:rPr>
                <w:b/>
                <w:bCs/>
                <w:sz w:val="24"/>
                <w:lang w:val="de-DE"/>
              </w:rPr>
              <w:t xml:space="preserve"> 8</w:t>
            </w:r>
            <w:r>
              <w:rPr>
                <w:b/>
                <w:bCs/>
                <w:sz w:val="24"/>
                <w:lang w:val="de-DE"/>
              </w:rPr>
              <w:t>019</w:t>
            </w:r>
            <w:r w:rsidRPr="00BD5576">
              <w:rPr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Pr="00BD5576">
              <w:rPr>
                <w:b/>
                <w:bCs/>
                <w:sz w:val="24"/>
                <w:lang w:val="de-DE"/>
              </w:rPr>
              <w:t>Dep</w:t>
            </w:r>
            <w:proofErr w:type="spellEnd"/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  <w:r w:rsidRPr="00BD5576">
              <w:rPr>
                <w:b/>
                <w:bCs/>
                <w:sz w:val="24"/>
                <w:lang w:val="de-DE"/>
              </w:rPr>
              <w:t>003</w:t>
            </w:r>
            <w:r>
              <w:rPr>
                <w:b/>
                <w:bCs/>
                <w:sz w:val="24"/>
                <w:lang w:val="de-DE"/>
              </w:rPr>
              <w:t>0</w:t>
            </w:r>
            <w:r w:rsidRPr="00BD5576">
              <w:rPr>
                <w:b/>
                <w:bCs/>
                <w:sz w:val="24"/>
                <w:lang w:val="de-DE"/>
              </w:rPr>
              <w:t xml:space="preserve"> OSLO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2410" w:type="dxa"/>
          </w:tcPr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</w:p>
          <w:p w:rsidR="009513D2" w:rsidRPr="00BD5576" w:rsidRDefault="009513D2" w:rsidP="00E6609C">
            <w:pPr>
              <w:tabs>
                <w:tab w:val="left" w:pos="7380"/>
              </w:tabs>
              <w:spacing w:line="0" w:lineRule="atLeast"/>
              <w:jc w:val="both"/>
              <w:rPr>
                <w:b/>
                <w:bCs/>
                <w:lang w:val="de-DE"/>
              </w:rPr>
            </w:pPr>
            <w:r w:rsidRPr="00BD5576">
              <w:rPr>
                <w:b/>
                <w:bCs/>
                <w:lang w:val="de-DE"/>
              </w:rPr>
              <w:t xml:space="preserve">Oslo, </w:t>
            </w:r>
            <w:r w:rsidR="00B742D1" w:rsidRPr="00BD5576">
              <w:rPr>
                <w:b/>
                <w:bCs/>
              </w:rPr>
              <w:fldChar w:fldCharType="begin"/>
            </w:r>
            <w:r w:rsidRPr="00BD5576">
              <w:rPr>
                <w:b/>
                <w:bCs/>
              </w:rPr>
              <w:instrText xml:space="preserve"> date \@ "d. MMMM yyyy" \* MERGEFORMAT </w:instrText>
            </w:r>
            <w:r w:rsidR="00B742D1" w:rsidRPr="00BD5576">
              <w:rPr>
                <w:b/>
                <w:bCs/>
              </w:rPr>
              <w:fldChar w:fldCharType="separate"/>
            </w:r>
            <w:r w:rsidR="00546798">
              <w:rPr>
                <w:b/>
                <w:bCs/>
                <w:noProof/>
              </w:rPr>
              <w:t>8. februar 2013</w:t>
            </w:r>
            <w:r w:rsidR="00B742D1" w:rsidRPr="00BD5576">
              <w:rPr>
                <w:b/>
                <w:bCs/>
              </w:rPr>
              <w:fldChar w:fldCharType="end"/>
            </w:r>
          </w:p>
          <w:p w:rsidR="009513D2" w:rsidRPr="00BD5576" w:rsidRDefault="009513D2" w:rsidP="00E6609C">
            <w:pPr>
              <w:pStyle w:val="Topptekst"/>
              <w:tabs>
                <w:tab w:val="clear" w:pos="4536"/>
                <w:tab w:val="clear" w:pos="9072"/>
                <w:tab w:val="left" w:pos="7380"/>
              </w:tabs>
              <w:spacing w:line="0" w:lineRule="atLeast"/>
              <w:jc w:val="both"/>
            </w:pPr>
            <w:r w:rsidRPr="00BD5576">
              <w:t xml:space="preserve">Vår ref.: </w:t>
            </w:r>
            <w:r>
              <w:t>EF</w:t>
            </w:r>
          </w:p>
          <w:p w:rsidR="009513D2" w:rsidRPr="00BD5576" w:rsidRDefault="009513D2" w:rsidP="00E6609C">
            <w:pPr>
              <w:tabs>
                <w:tab w:val="left" w:pos="7920"/>
              </w:tabs>
              <w:jc w:val="both"/>
              <w:rPr>
                <w:b/>
                <w:bCs/>
                <w:sz w:val="24"/>
              </w:rPr>
            </w:pPr>
            <w:r w:rsidRPr="00BD5576">
              <w:rPr>
                <w:u w:val="single"/>
              </w:rPr>
              <w:t>Må alltid oppgis.</w:t>
            </w:r>
          </w:p>
        </w:tc>
      </w:tr>
    </w:tbl>
    <w:p w:rsidR="00E5482C" w:rsidRDefault="00E5482C" w:rsidP="00E5482C">
      <w:pPr>
        <w:pStyle w:val="Caption1"/>
        <w:jc w:val="both"/>
      </w:pPr>
      <w:r>
        <w:t xml:space="preserve">Deres </w:t>
      </w:r>
      <w:proofErr w:type="spellStart"/>
      <w:r>
        <w:t>ref</w:t>
      </w:r>
      <w:proofErr w:type="spellEnd"/>
      <w:r>
        <w:t>: 12/4229</w:t>
      </w:r>
    </w:p>
    <w:p w:rsidR="00E5482C" w:rsidRDefault="00E5482C" w:rsidP="00E5482C">
      <w:pPr>
        <w:tabs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tabs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pStyle w:val="NormalWeb"/>
        <w:jc w:val="both"/>
        <w:rPr>
          <w:lang w:val="nb-NO"/>
        </w:rPr>
      </w:pPr>
      <w:r>
        <w:rPr>
          <w:lang w:val="nb-NO"/>
        </w:rPr>
        <w:t>HØRINGSUTTALELSE FRA JUSS-BUSS VEDRØRENDE FORSLAG TIL ENDRINGER I ARBEIDSMILJØLOVEN – TILTAK MOT UFRIVILLIG DELTID</w:t>
      </w:r>
    </w:p>
    <w:p w:rsidR="00E5482C" w:rsidRDefault="00E5482C" w:rsidP="00E5482C">
      <w:pPr>
        <w:pStyle w:val="Overskrift2"/>
        <w:numPr>
          <w:ilvl w:val="1"/>
          <w:numId w:val="2"/>
        </w:numPr>
        <w:suppressAutoHyphens/>
        <w:spacing w:line="100" w:lineRule="atLeast"/>
        <w:jc w:val="both"/>
      </w:pP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  <w:r>
        <w:rPr>
          <w:sz w:val="24"/>
        </w:rPr>
        <w:t>Viser til høringsbrev av 13. desember 2012. Vedlagt følger høringsuttalelse fra Juss-Buss.</w:t>
      </w: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  <w:r>
        <w:rPr>
          <w:sz w:val="24"/>
        </w:rPr>
        <w:t>Dersom dere har noen spørsmål til høringsuttalelsen kan dere henvende dere til vår e-postadresse sag@jussbuss.no, eller til kontaktperson Erling Fasting på tlf. 22 84 29 23. Vedkommende kan nås mellom kl. 10.00 og 15.00, alle hverdager unntatt onsdag.</w:t>
      </w: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  <w:r>
        <w:rPr>
          <w:sz w:val="24"/>
        </w:rPr>
        <w:t>Med vennlig hilsen,</w:t>
      </w: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  <w:r>
        <w:rPr>
          <w:sz w:val="24"/>
        </w:rPr>
        <w:t>for Juss-Buss</w:t>
      </w:r>
    </w:p>
    <w:p w:rsidR="00E5482C" w:rsidRDefault="00E5482C" w:rsidP="00E5482C">
      <w:pPr>
        <w:tabs>
          <w:tab w:val="left" w:pos="3140"/>
          <w:tab w:val="left" w:pos="7920"/>
        </w:tabs>
        <w:jc w:val="both"/>
        <w:rPr>
          <w:sz w:val="24"/>
        </w:rPr>
      </w:pPr>
    </w:p>
    <w:p w:rsidR="00E5482C" w:rsidRDefault="00E5482C" w:rsidP="00E5482C">
      <w:pPr>
        <w:pStyle w:val="Bunntekst"/>
        <w:tabs>
          <w:tab w:val="left" w:pos="708"/>
        </w:tabs>
        <w:rPr>
          <w:rFonts w:ascii="Arial Rounded MT Bold" w:hAnsi="Arial Rounded MT Bold" w:cs="Arial"/>
          <w:color w:val="7A2627"/>
        </w:rPr>
      </w:pPr>
    </w:p>
    <w:p w:rsidR="00E5482C" w:rsidRDefault="00E5482C" w:rsidP="00E5482C">
      <w:pPr>
        <w:sectPr w:rsidR="00E5482C">
          <w:headerReference w:type="default" r:id="rId8"/>
          <w:pgSz w:w="11906" w:h="16838"/>
          <w:pgMar w:top="921" w:right="1008" w:bottom="907" w:left="1008" w:header="708" w:footer="708" w:gutter="0"/>
          <w:cols w:space="708"/>
        </w:sect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lastRenderedPageBreak/>
        <w:t>Sosial-, trygde- og arbeidsrettsgruppa:</w:t>
      </w: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Susanne </w:t>
      </w:r>
      <w:proofErr w:type="spellStart"/>
      <w:r>
        <w:rPr>
          <w:sz w:val="24"/>
        </w:rPr>
        <w:t>Bennin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Gallala</w:t>
      </w:r>
      <w:proofErr w:type="spellEnd"/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Ulvhild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Cecilie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Mamelund</w:t>
      </w:r>
      <w:proofErr w:type="spellEnd"/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Benedikte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Cecilie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Nilsen</w:t>
      </w:r>
      <w:proofErr w:type="spellEnd"/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Christine Palm                                                                                                  </w:t>
      </w: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Erling Fasting                                                                                                       </w:t>
      </w: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  <w:r>
        <w:rPr>
          <w:sz w:val="24"/>
        </w:rPr>
        <w:t>Ingrid Mellum Gundersen</w:t>
      </w:r>
    </w:p>
    <w:p w:rsid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</w:rPr>
      </w:pPr>
    </w:p>
    <w:p w:rsidR="00E5482C" w:rsidRP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  <w:r w:rsidRPr="00E5482C">
        <w:rPr>
          <w:sz w:val="24"/>
          <w:lang w:val="en-US"/>
        </w:rPr>
        <w:t xml:space="preserve">Ole Magnus </w:t>
      </w:r>
      <w:proofErr w:type="spellStart"/>
      <w:r w:rsidRPr="00E5482C">
        <w:rPr>
          <w:sz w:val="24"/>
          <w:lang w:val="en-US"/>
        </w:rPr>
        <w:t>Drægni</w:t>
      </w:r>
      <w:proofErr w:type="spellEnd"/>
    </w:p>
    <w:p w:rsidR="00E5482C" w:rsidRPr="00E5482C" w:rsidRDefault="00E5482C" w:rsidP="00E5482C">
      <w:pPr>
        <w:tabs>
          <w:tab w:val="center" w:pos="4536"/>
          <w:tab w:val="left" w:pos="7920"/>
          <w:tab w:val="right" w:pos="9072"/>
        </w:tabs>
        <w:jc w:val="both"/>
        <w:rPr>
          <w:sz w:val="24"/>
          <w:lang w:val="en-US"/>
        </w:rPr>
      </w:pPr>
    </w:p>
    <w:p w:rsidR="00E5482C" w:rsidRPr="00E5482C" w:rsidRDefault="00E5482C" w:rsidP="00E5482C">
      <w:pPr>
        <w:tabs>
          <w:tab w:val="center" w:pos="4536"/>
          <w:tab w:val="left" w:pos="7920"/>
          <w:tab w:val="right" w:pos="9072"/>
        </w:tabs>
        <w:rPr>
          <w:lang w:val="en-US"/>
        </w:rPr>
      </w:pPr>
      <w:proofErr w:type="spellStart"/>
      <w:r w:rsidRPr="00E5482C">
        <w:rPr>
          <w:sz w:val="24"/>
          <w:lang w:val="en-US"/>
        </w:rPr>
        <w:t>Ane</w:t>
      </w:r>
      <w:proofErr w:type="spellEnd"/>
      <w:r w:rsidRPr="00E5482C">
        <w:rPr>
          <w:sz w:val="24"/>
          <w:lang w:val="en-US"/>
        </w:rPr>
        <w:t xml:space="preserve"> Celine C. Backer</w:t>
      </w:r>
    </w:p>
    <w:p w:rsidR="00E5482C" w:rsidRPr="00E5482C" w:rsidRDefault="00E5482C" w:rsidP="00E5482C">
      <w:pPr>
        <w:rPr>
          <w:lang w:val="en-US"/>
        </w:rPr>
        <w:sectPr w:rsidR="00E5482C" w:rsidRPr="00E5482C">
          <w:type w:val="continuous"/>
          <w:pgSz w:w="11906" w:h="16838"/>
          <w:pgMar w:top="921" w:right="1008" w:bottom="907" w:left="1008" w:header="708" w:footer="708" w:gutter="0"/>
          <w:cols w:space="708"/>
        </w:sectPr>
      </w:pPr>
    </w:p>
    <w:p w:rsidR="00E5482C" w:rsidRPr="00E5482C" w:rsidRDefault="00E5482C" w:rsidP="00E5482C">
      <w:pPr>
        <w:rPr>
          <w:lang w:val="en-US"/>
        </w:rPr>
        <w:sectPr w:rsidR="00E5482C" w:rsidRPr="00E5482C">
          <w:type w:val="continuous"/>
          <w:pgSz w:w="11906" w:h="16838"/>
          <w:pgMar w:top="921" w:right="1008" w:bottom="907" w:left="1008" w:header="708" w:footer="708" w:gutter="0"/>
          <w:cols w:space="708"/>
        </w:sectPr>
      </w:pPr>
    </w:p>
    <w:p w:rsidR="00E5482C" w:rsidRDefault="00E5482C" w:rsidP="00E5482C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Høringsuttalelse fra Juss-Buss vedrørende forslag til endringer i arbeidsmiljøloven – tiltak mot ufrivillig deltid</w:t>
      </w: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>Innledning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Juss-Buss er et studentdrevet </w:t>
      </w:r>
      <w:proofErr w:type="spellStart"/>
      <w:r>
        <w:rPr>
          <w:sz w:val="24"/>
          <w:szCs w:val="24"/>
        </w:rPr>
        <w:t>rettshjelpstiltak</w:t>
      </w:r>
      <w:proofErr w:type="spellEnd"/>
      <w:r>
        <w:rPr>
          <w:sz w:val="24"/>
          <w:szCs w:val="24"/>
        </w:rPr>
        <w:t xml:space="preserve"> som yter rettshjelp til utsatte grupper. Vi har valgt arbeidsrett som et prioritert felt, da vi ser at det er et stort udekket behov for rettshjelp på dette området. 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behandler i utgangspunktet bare saker for uorganiserte arbeidstakere. </w:t>
      </w:r>
      <w:r w:rsidR="00F8403B">
        <w:rPr>
          <w:sz w:val="24"/>
          <w:szCs w:val="24"/>
        </w:rPr>
        <w:t>I 2012 hadde vi 721 saker om arbeidsrett, der 300 av disse var</w:t>
      </w:r>
      <w:r w:rsidR="00546798">
        <w:rPr>
          <w:sz w:val="24"/>
          <w:szCs w:val="24"/>
        </w:rPr>
        <w:t xml:space="preserve"> </w:t>
      </w:r>
      <w:bookmarkStart w:id="0" w:name="_GoBack"/>
      <w:bookmarkEnd w:id="0"/>
      <w:r w:rsidR="00F8403B">
        <w:rPr>
          <w:sz w:val="24"/>
          <w:szCs w:val="24"/>
        </w:rPr>
        <w:t>for utenlandske arbeidstakere.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Juss-Buss jobber for å endre regelverk og praksis for å bedre situasjonen for arbeidstakere. På grunn av at vi på jevnlig basis blir kontaktet av utenlandske arbeidstakere har vi engasjert oss i arbeidet mot sosial dumping. </w:t>
      </w:r>
    </w:p>
    <w:p w:rsidR="00E5482C" w:rsidRDefault="00E5482C" w:rsidP="00E5482C">
      <w:pPr>
        <w:jc w:val="both"/>
        <w:rPr>
          <w:b/>
          <w:sz w:val="28"/>
          <w:szCs w:val="28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Drøftelsesplikt ved bruk av deltidsstillinger</w:t>
      </w: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En lovfestet drøftelsesplikt vil være et hensiktsmessig virkemiddel for å øke kommunikasjon</w:t>
      </w:r>
      <w:r w:rsidR="003B0253">
        <w:rPr>
          <w:sz w:val="24"/>
          <w:szCs w:val="24"/>
        </w:rPr>
        <w:t>en</w:t>
      </w:r>
      <w:r>
        <w:rPr>
          <w:sz w:val="24"/>
          <w:szCs w:val="24"/>
        </w:rPr>
        <w:t xml:space="preserve"> mellom arbeidsgiver og bedriftens tillitsvalgte</w:t>
      </w:r>
      <w:r w:rsidR="003B0253">
        <w:rPr>
          <w:sz w:val="24"/>
          <w:szCs w:val="24"/>
        </w:rPr>
        <w:t>,</w:t>
      </w:r>
      <w:r>
        <w:rPr>
          <w:sz w:val="24"/>
          <w:szCs w:val="24"/>
        </w:rPr>
        <w:t xml:space="preserve"> og</w:t>
      </w:r>
      <w:r w:rsidR="003B0253">
        <w:rPr>
          <w:sz w:val="24"/>
          <w:szCs w:val="24"/>
        </w:rPr>
        <w:t xml:space="preserve"> å</w:t>
      </w:r>
      <w:r>
        <w:rPr>
          <w:sz w:val="24"/>
          <w:szCs w:val="24"/>
        </w:rPr>
        <w:t xml:space="preserve"> øke bevisstheten </w:t>
      </w:r>
      <w:r w:rsidR="003B0253">
        <w:rPr>
          <w:sz w:val="24"/>
          <w:szCs w:val="24"/>
        </w:rPr>
        <w:t>rundt</w:t>
      </w:r>
      <w:r>
        <w:rPr>
          <w:sz w:val="24"/>
          <w:szCs w:val="24"/>
        </w:rPr>
        <w:t xml:space="preserve"> bruk av deltidsstillinger. At bedriftens behov jevnlig må vurderes opp mot reglene i arbeidsmiljøloven vil kunne motvirke en passiv holdning til bruk av deltid. Det er </w:t>
      </w:r>
      <w:r w:rsidR="003B0253">
        <w:rPr>
          <w:sz w:val="24"/>
          <w:szCs w:val="24"/>
        </w:rPr>
        <w:t>likevel</w:t>
      </w:r>
      <w:r>
        <w:rPr>
          <w:sz w:val="24"/>
          <w:szCs w:val="24"/>
        </w:rPr>
        <w:t xml:space="preserve"> viktigere at </w:t>
      </w:r>
      <w:r w:rsidR="003B0253">
        <w:rPr>
          <w:sz w:val="24"/>
          <w:szCs w:val="24"/>
        </w:rPr>
        <w:t xml:space="preserve">gode og </w:t>
      </w:r>
      <w:r>
        <w:rPr>
          <w:sz w:val="24"/>
          <w:szCs w:val="24"/>
        </w:rPr>
        <w:t xml:space="preserve">reelle drøftelser blir avholdt jevnlig enn at det skjer nøyaktig en gang i året. 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krav om drøftelser en gang i året vil også bety at arbeidsgiver må drøfte bruken av deltidsstillinger med nye arbeidstakere som ble ansatt etter forrige </w:t>
      </w:r>
      <w:proofErr w:type="gramStart"/>
      <w:r>
        <w:rPr>
          <w:sz w:val="24"/>
          <w:szCs w:val="24"/>
        </w:rPr>
        <w:t>drøftelse,  og</w:t>
      </w:r>
      <w:proofErr w:type="gramEnd"/>
      <w:r>
        <w:rPr>
          <w:sz w:val="24"/>
          <w:szCs w:val="24"/>
        </w:rPr>
        <w:t xml:space="preserve"> som er aktuelle </w:t>
      </w:r>
      <w:r w:rsidR="003B0253">
        <w:rPr>
          <w:sz w:val="24"/>
          <w:szCs w:val="24"/>
        </w:rPr>
        <w:t>for</w:t>
      </w:r>
      <w:r>
        <w:rPr>
          <w:sz w:val="24"/>
          <w:szCs w:val="24"/>
        </w:rPr>
        <w:t xml:space="preserve"> en rett til utvidet stilling etter 12 måneder i den foreslåtte §14-3a. En slik sammenheng mellom bestemmelsene vil være hensiktsmessig for å sikre arbeidstakernes rettigheter.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Juss-Buss stiller seg bak forslaget om at Arbeidstilsynet skal føre kontroll med at drøftelsesplikten overholdes.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Juss-Buss erfarer at klienter som er deltidsansatte ofte mangler</w:t>
      </w:r>
      <w:r w:rsidR="003B0253">
        <w:rPr>
          <w:sz w:val="24"/>
          <w:szCs w:val="24"/>
        </w:rPr>
        <w:t xml:space="preserve"> kunnskap om deres rettigheter etter a</w:t>
      </w:r>
      <w:r>
        <w:rPr>
          <w:sz w:val="24"/>
          <w:szCs w:val="24"/>
        </w:rPr>
        <w:t>rbeidsmiljøloven. Jevnlige drøftelser om br</w:t>
      </w:r>
      <w:r w:rsidR="003B0253">
        <w:rPr>
          <w:sz w:val="24"/>
          <w:szCs w:val="24"/>
        </w:rPr>
        <w:t>uk av deltidsstillinger vil</w:t>
      </w:r>
      <w:r>
        <w:rPr>
          <w:sz w:val="24"/>
          <w:szCs w:val="24"/>
        </w:rPr>
        <w:t xml:space="preserve"> kunne øke arbeidstakeres bevissthet om disse rettighetene. Erfaringene som har blitt </w:t>
      </w:r>
      <w:r w:rsidR="003B0253">
        <w:rPr>
          <w:sz w:val="24"/>
          <w:szCs w:val="24"/>
        </w:rPr>
        <w:t>gjort</w:t>
      </w:r>
      <w:r>
        <w:rPr>
          <w:sz w:val="24"/>
          <w:szCs w:val="24"/>
        </w:rPr>
        <w:t xml:space="preserve"> med drøftelsesplikten for bruk av midlertidige ansatte etter arbeidsmiljøloven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>-9 (1) bør ha vekt i avgjørelsen om en liknende ordning skal innføres for deltidsansatte.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For at disse formålene effektivt skal kunne gjennomføres</w:t>
      </w:r>
      <w:r w:rsidR="003B0253">
        <w:rPr>
          <w:sz w:val="24"/>
          <w:szCs w:val="24"/>
        </w:rPr>
        <w:t>, bør</w:t>
      </w:r>
      <w:r>
        <w:rPr>
          <w:sz w:val="24"/>
          <w:szCs w:val="24"/>
        </w:rPr>
        <w:t xml:space="preserve"> innholdet av drøftelsesplikten presiseres ytterligere. For å kunne godtgjøre at det har blitt tatt stilling til bruken av deltidsstillinger mener Juss-Buss at arbeidsgiver burde ha en plikt til å dokumentere behovet for </w:t>
      </w:r>
      <w:r w:rsidR="003B0253">
        <w:rPr>
          <w:sz w:val="24"/>
          <w:szCs w:val="24"/>
        </w:rPr>
        <w:t>dette</w:t>
      </w:r>
      <w:r>
        <w:rPr>
          <w:sz w:val="24"/>
          <w:szCs w:val="24"/>
        </w:rPr>
        <w:t xml:space="preserve">. En slik </w:t>
      </w:r>
      <w:r w:rsidR="003B0253">
        <w:rPr>
          <w:sz w:val="24"/>
          <w:szCs w:val="24"/>
        </w:rPr>
        <w:t>dokumentasjons</w:t>
      </w:r>
      <w:r>
        <w:rPr>
          <w:sz w:val="24"/>
          <w:szCs w:val="24"/>
        </w:rPr>
        <w:t xml:space="preserve">plikt vil ha to funksjoner. For det første vil </w:t>
      </w:r>
      <w:r w:rsidR="003B0253">
        <w:rPr>
          <w:sz w:val="24"/>
          <w:szCs w:val="24"/>
        </w:rPr>
        <w:t>det</w:t>
      </w:r>
      <w:r>
        <w:rPr>
          <w:sz w:val="24"/>
          <w:szCs w:val="24"/>
        </w:rPr>
        <w:t xml:space="preserve"> sikre at drøftelsen blir reel</w:t>
      </w:r>
      <w:r w:rsidR="003B0253">
        <w:rPr>
          <w:sz w:val="24"/>
          <w:szCs w:val="24"/>
        </w:rPr>
        <w:t>l</w:t>
      </w:r>
      <w:r>
        <w:rPr>
          <w:sz w:val="24"/>
          <w:szCs w:val="24"/>
        </w:rPr>
        <w:t xml:space="preserve"> og mer grundig fra arbeidsgivers side. For det andre vil Arbeidstilsynets kontroll bli mer effektiv. Juss-Buss </w:t>
      </w:r>
      <w:r w:rsidR="003B0253">
        <w:rPr>
          <w:sz w:val="24"/>
          <w:szCs w:val="24"/>
        </w:rPr>
        <w:t>støtter</w:t>
      </w:r>
      <w:r>
        <w:rPr>
          <w:sz w:val="24"/>
          <w:szCs w:val="24"/>
        </w:rPr>
        <w:t xml:space="preserve"> at Arbeidstilsynet ikke bare </w:t>
      </w:r>
      <w:r w:rsidR="003B0253">
        <w:rPr>
          <w:sz w:val="24"/>
          <w:szCs w:val="24"/>
        </w:rPr>
        <w:t>skal ha</w:t>
      </w:r>
      <w:r>
        <w:rPr>
          <w:sz w:val="24"/>
          <w:szCs w:val="24"/>
        </w:rPr>
        <w:t xml:space="preserve"> myndighet til å påse at drøftelsen faktisk blir gjennomført, men også de materielle sidene av plikten. Arbeidstilsynets kontroll med slike drøftelser vil ha lite</w:t>
      </w:r>
      <w:r w:rsidR="0040702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07027">
        <w:rPr>
          <w:sz w:val="24"/>
          <w:szCs w:val="24"/>
        </w:rPr>
        <w:t>betydning dersom</w:t>
      </w:r>
      <w:r>
        <w:rPr>
          <w:sz w:val="24"/>
          <w:szCs w:val="24"/>
        </w:rPr>
        <w:t xml:space="preserve"> arbeidsgiver ikke må dokumentere innholdet av drøftelsen. Arbeidstilsynets </w:t>
      </w:r>
      <w:r>
        <w:rPr>
          <w:sz w:val="24"/>
          <w:szCs w:val="24"/>
        </w:rPr>
        <w:lastRenderedPageBreak/>
        <w:t xml:space="preserve">håndhevingsfunksjon vil bli mer effektiv ved at de kan kontrollere både eksistensen </w:t>
      </w:r>
      <w:r w:rsidR="00407027">
        <w:rPr>
          <w:sz w:val="24"/>
          <w:szCs w:val="24"/>
        </w:rPr>
        <w:t>av og innholdet i</w:t>
      </w:r>
      <w:r>
        <w:rPr>
          <w:sz w:val="24"/>
          <w:szCs w:val="24"/>
        </w:rPr>
        <w:t xml:space="preserve"> en slik dokumentasjon.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 høringsuttalelse til </w:t>
      </w:r>
      <w:r w:rsidR="00407027">
        <w:rPr>
          <w:sz w:val="24"/>
          <w:szCs w:val="24"/>
        </w:rPr>
        <w:t>høringen om</w:t>
      </w:r>
      <w:r w:rsidR="00407027" w:rsidRPr="00407027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407027" w:rsidRPr="0040702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”</w:t>
      </w:r>
      <w:r w:rsidR="00407027">
        <w:rPr>
          <w:rStyle w:val="Sterk"/>
          <w:b w:val="0"/>
          <w:color w:val="000000"/>
          <w:sz w:val="24"/>
          <w:szCs w:val="24"/>
          <w:shd w:val="clear" w:color="auto" w:fill="FFFFFF"/>
        </w:rPr>
        <w:t>F</w:t>
      </w:r>
      <w:r w:rsidR="00407027" w:rsidRPr="00407027">
        <w:rPr>
          <w:rStyle w:val="Sterk"/>
          <w:b w:val="0"/>
          <w:color w:val="000000"/>
          <w:sz w:val="24"/>
          <w:szCs w:val="24"/>
          <w:shd w:val="clear" w:color="auto" w:fill="FFFFFF"/>
        </w:rPr>
        <w:t>orslag om tilsyn med forskrift om lønns- og arbeidsvilkår i offentlige kontrakter samt innføring av hjemler for å ilegge overtredelsesgebyr</w:t>
      </w:r>
      <w:r w:rsidR="00407027">
        <w:rPr>
          <w:rStyle w:val="Sterk"/>
          <w:b w:val="0"/>
          <w:color w:val="000000"/>
          <w:sz w:val="24"/>
          <w:szCs w:val="24"/>
          <w:shd w:val="clear" w:color="auto" w:fill="FFFFFF"/>
        </w:rPr>
        <w:t>”</w:t>
      </w:r>
      <w:r>
        <w:rPr>
          <w:sz w:val="24"/>
          <w:szCs w:val="24"/>
        </w:rPr>
        <w:t xml:space="preserve"> tok Juss-Buss opp behovet for flere uanmeldte tilsyn fra Arbeidstilsynet. Arbeidstilsynet uttrykker selv at de midlene de er tildelt ikke strekker til for å kunne gjennomføre flere av sine lovpålagte </w:t>
      </w:r>
      <w:r w:rsidR="00407027">
        <w:rPr>
          <w:sz w:val="24"/>
          <w:szCs w:val="24"/>
        </w:rPr>
        <w:t>oppgaver</w:t>
      </w:r>
      <w:r>
        <w:rPr>
          <w:sz w:val="24"/>
          <w:szCs w:val="24"/>
        </w:rPr>
        <w:t xml:space="preserve">. I høringsnotatet foreslås det å utvide Arbeidstilsynets </w:t>
      </w:r>
      <w:r w:rsidR="00407027">
        <w:rPr>
          <w:sz w:val="24"/>
          <w:szCs w:val="24"/>
        </w:rPr>
        <w:t>virkeområde</w:t>
      </w:r>
      <w:r>
        <w:rPr>
          <w:sz w:val="24"/>
          <w:szCs w:val="24"/>
        </w:rPr>
        <w:t xml:space="preserve"> ved å endre arbeidsmiljøloven</w:t>
      </w:r>
      <w:proofErr w:type="gramStart"/>
      <w:r>
        <w:rPr>
          <w:sz w:val="24"/>
          <w:szCs w:val="24"/>
        </w:rPr>
        <w:t xml:space="preserve"> §18</w:t>
      </w:r>
      <w:proofErr w:type="gramEnd"/>
      <w:r>
        <w:rPr>
          <w:sz w:val="24"/>
          <w:szCs w:val="24"/>
        </w:rPr>
        <w:t xml:space="preserve">-6. Vi understreker derfor viktigheten av at dette tas hensyn til </w:t>
      </w:r>
      <w:r w:rsidR="00407027">
        <w:rPr>
          <w:sz w:val="24"/>
          <w:szCs w:val="24"/>
        </w:rPr>
        <w:t>ved</w:t>
      </w:r>
      <w:r>
        <w:rPr>
          <w:sz w:val="24"/>
          <w:szCs w:val="24"/>
        </w:rPr>
        <w:t xml:space="preserve"> å gi Arbeidstilsynet mer ressurser.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Rett til utvidet stilling for deltidsansatte som tilsvarer deres faktiske arbeidstid</w:t>
      </w: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Juss-Buss støtter forslaget om at merarbeidet må ha pågått i minst 12 måneder for at en ansatt skal ha rett til en utvidet stilling. Vi vil imidlertid gjøre Arbeidsdepartementet </w:t>
      </w:r>
      <w:r w:rsidR="00407027">
        <w:rPr>
          <w:sz w:val="24"/>
          <w:szCs w:val="24"/>
        </w:rPr>
        <w:t>oppmerksomme på</w:t>
      </w:r>
      <w:r>
        <w:rPr>
          <w:sz w:val="24"/>
          <w:szCs w:val="24"/>
        </w:rPr>
        <w:t xml:space="preserve"> at </w:t>
      </w:r>
      <w:r w:rsidR="00407027">
        <w:rPr>
          <w:sz w:val="24"/>
          <w:szCs w:val="24"/>
        </w:rPr>
        <w:t xml:space="preserve">med </w:t>
      </w:r>
      <w:r>
        <w:rPr>
          <w:sz w:val="24"/>
          <w:szCs w:val="24"/>
        </w:rPr>
        <w:t>en klar grense for når man har r</w:t>
      </w:r>
      <w:r w:rsidR="00407027">
        <w:rPr>
          <w:sz w:val="24"/>
          <w:szCs w:val="24"/>
        </w:rPr>
        <w:t xml:space="preserve">ett til utvidet stilling vil </w:t>
      </w:r>
      <w:r>
        <w:rPr>
          <w:sz w:val="24"/>
          <w:szCs w:val="24"/>
        </w:rPr>
        <w:t xml:space="preserve">arbeidsgivere </w:t>
      </w:r>
      <w:r w:rsidR="00407027">
        <w:rPr>
          <w:sz w:val="24"/>
          <w:szCs w:val="24"/>
        </w:rPr>
        <w:t xml:space="preserve">få </w:t>
      </w:r>
      <w:r>
        <w:rPr>
          <w:sz w:val="24"/>
          <w:szCs w:val="24"/>
        </w:rPr>
        <w:t xml:space="preserve">en større </w:t>
      </w:r>
      <w:r w:rsidR="00407027">
        <w:rPr>
          <w:sz w:val="24"/>
          <w:szCs w:val="24"/>
        </w:rPr>
        <w:t>mulighet</w:t>
      </w:r>
      <w:r>
        <w:rPr>
          <w:sz w:val="24"/>
          <w:szCs w:val="24"/>
        </w:rPr>
        <w:t xml:space="preserve"> til å omgå bestemmelsen. </w:t>
      </w:r>
      <w:r w:rsidR="00407027">
        <w:rPr>
          <w:sz w:val="24"/>
          <w:szCs w:val="24"/>
        </w:rPr>
        <w:t>Dette vil kunne skje ved</w:t>
      </w:r>
      <w:r>
        <w:rPr>
          <w:sz w:val="24"/>
          <w:szCs w:val="24"/>
        </w:rPr>
        <w:t xml:space="preserve"> at det jevnlige merarbeidet stopper i en periode etter at det har pågått i 11 måneder. For midlertidige ansatte </w:t>
      </w:r>
      <w:r w:rsidR="00407027">
        <w:rPr>
          <w:sz w:val="24"/>
          <w:szCs w:val="24"/>
        </w:rPr>
        <w:t>e</w:t>
      </w:r>
      <w:r>
        <w:rPr>
          <w:sz w:val="24"/>
          <w:szCs w:val="24"/>
        </w:rPr>
        <w:t>r vilkåret 4 års sammenhengende ansettelse i arbeidsmiljøloven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>-9 (5) for å bli fast ansatt, og vi har sett klare tilfeller av at denn</w:t>
      </w:r>
      <w:r w:rsidR="00407027">
        <w:rPr>
          <w:sz w:val="24"/>
          <w:szCs w:val="24"/>
        </w:rPr>
        <w:t>e regelen omgås på en slik måte, såkalt ”lufting”.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bør ikke settes en nedre grense for hvilken størrelse utvidelsen av stillingen skal ha. En grense der utvidelsen må minst være en viss prosentdel vil kunne slå uheldig ut i grensetilfeller. Et prinsipp om at enhver reell endring av arbeidsforholdet skal inn i arbeidskontrakten ser Juss-Buss på som viktig å overholde. 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Vilkåret ”jevnlig”</w:t>
      </w:r>
    </w:p>
    <w:p w:rsidR="00E5482C" w:rsidRDefault="00407027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Ordlyden ”jevnlig” er vag</w:t>
      </w:r>
      <w:r w:rsidR="00E5482C">
        <w:rPr>
          <w:sz w:val="24"/>
          <w:szCs w:val="24"/>
        </w:rPr>
        <w:t xml:space="preserve"> og vurderingen av om vi</w:t>
      </w:r>
      <w:r>
        <w:rPr>
          <w:sz w:val="24"/>
          <w:szCs w:val="24"/>
        </w:rPr>
        <w:t>lkåret er oppfylt vil kunne</w:t>
      </w:r>
      <w:r w:rsidR="00E5482C">
        <w:rPr>
          <w:sz w:val="24"/>
          <w:szCs w:val="24"/>
        </w:rPr>
        <w:t xml:space="preserve"> bli svært skjønnsmessig. Dette vil kunne føre til en større andel tvister mellom arbeidsgive</w:t>
      </w:r>
      <w:r>
        <w:rPr>
          <w:sz w:val="24"/>
          <w:szCs w:val="24"/>
        </w:rPr>
        <w:t>r og arbeidstaker angående bestemmelsen. Tvistene</w:t>
      </w:r>
      <w:r w:rsidR="00E5482C">
        <w:rPr>
          <w:sz w:val="24"/>
          <w:szCs w:val="24"/>
        </w:rPr>
        <w:t xml:space="preserve"> vil måtte bringes til rettsapparatet for å bli avgjort med mindre Tvisteløsningsnemnda få</w:t>
      </w:r>
      <w:r>
        <w:rPr>
          <w:sz w:val="24"/>
          <w:szCs w:val="24"/>
        </w:rPr>
        <w:t>r kompetanse til å løse dem</w:t>
      </w:r>
      <w:r w:rsidR="00E5482C">
        <w:rPr>
          <w:sz w:val="24"/>
          <w:szCs w:val="24"/>
        </w:rPr>
        <w:t xml:space="preserve">. Den økonomiske risikoen en arbeidstaker løper ved å bringe tvisten for rettsapparatet vil virke avskrekkende på mange. Allerede her vil man se at formålet med bestemmelsen vanskelig kan oppnås. Juss-Buss vil oppfordre til at vilkåret presiseres for å unngå at det blir </w:t>
      </w:r>
      <w:r w:rsidR="0028202B">
        <w:rPr>
          <w:sz w:val="24"/>
          <w:szCs w:val="24"/>
        </w:rPr>
        <w:t>bevisst tolket for snevert</w:t>
      </w:r>
      <w:r w:rsidR="00E5482C">
        <w:rPr>
          <w:sz w:val="24"/>
          <w:szCs w:val="24"/>
        </w:rPr>
        <w:t xml:space="preserve"> for å omgå en rett til utvidet stilling.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Angående utvidelse av Tvisteløsningsnemndens kompetanse</w:t>
      </w: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Juss-Buss stiller seg bak forslaget om å kunne bringe tvister om den nye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>-4 andre ledd inn for Tvisteløsningsnemnda.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Vår erfaring er at mange arbeidstakere vegrer seg for å bringe tvister med sin arbeidsgiver for en domstol. Retten til utvidelse av stilling for deltidsansatte foreslått i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 xml:space="preserve">-3a første ledd vil spesielt ramme arbeidstakere som vil fortsette i stillingen sin. I en slik situasjon er det ikke ønskelig å </w:t>
      </w:r>
      <w:r w:rsidR="0028202B">
        <w:rPr>
          <w:sz w:val="24"/>
          <w:szCs w:val="24"/>
        </w:rPr>
        <w:t>øke konfliktnivået</w:t>
      </w:r>
      <w:r>
        <w:rPr>
          <w:sz w:val="24"/>
          <w:szCs w:val="24"/>
        </w:rPr>
        <w:t xml:space="preserve"> </w:t>
      </w:r>
      <w:r w:rsidR="0028202B">
        <w:rPr>
          <w:sz w:val="24"/>
          <w:szCs w:val="24"/>
        </w:rPr>
        <w:t>med</w:t>
      </w:r>
      <w:r>
        <w:rPr>
          <w:sz w:val="24"/>
          <w:szCs w:val="24"/>
        </w:rPr>
        <w:t xml:space="preserve"> arbeidsgiver, dermed vil terskelen for å gå til rettsapparatet med en tvist bli enda høyere.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Det at tvisten kan bringes inn for et uavhengig organ i stedet for at det blir en intern sak i bedriften vil kunne senke terskelen slik at arbeidstakers reelle muligheter for å hevde sine rettigheter blir større.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Fortrinnsrett for deltidsansatte</w:t>
      </w:r>
    </w:p>
    <w:p w:rsidR="00E5482C" w:rsidRDefault="0028202B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Juss-Buss er enig</w:t>
      </w:r>
      <w:r w:rsidR="00E5482C">
        <w:rPr>
          <w:sz w:val="24"/>
          <w:szCs w:val="24"/>
        </w:rPr>
        <w:t xml:space="preserve"> med Arbeidsdepartementet i at deltidsansatte skal ha en reell fortrinnsrett til utvidede stillinger etter</w:t>
      </w:r>
      <w:proofErr w:type="gramStart"/>
      <w:r w:rsidR="00E5482C">
        <w:rPr>
          <w:sz w:val="24"/>
          <w:szCs w:val="24"/>
        </w:rPr>
        <w:t xml:space="preserve"> §14</w:t>
      </w:r>
      <w:proofErr w:type="gramEnd"/>
      <w:r w:rsidR="00E5482C">
        <w:rPr>
          <w:sz w:val="24"/>
          <w:szCs w:val="24"/>
        </w:rPr>
        <w:t>-3, og stiller seg bak forslagene i §14-1 nytt andre punktum og §14-3 nytt tredje ledd.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Kvalifikasjoner til stillingen</w:t>
      </w: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Etter dagens bestemmelse i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>-3 andre ledd gir ordlyden arbeidsgiver en vid adgang til å omgå fortrinnsretten ved å argumentere for at den deltidsansatte ikke er tilstrekkelig kvalifisert. Det hadde gavnet arbeidstakerne, samt gjort bestemmelsen mer effektiv, dersom dette vilkåret kunne presiseres ytterligere. Å gi vilkåret en klarere nedre grense vil kunne motvirke omgåelse av loven, og ordlyden kan legge opp til en like konkret skjønnsmessig vurdering som den gjør i dag.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Vesentlig ulempe for arbeidsgiver</w:t>
      </w:r>
    </w:p>
    <w:p w:rsidR="00E5482C" w:rsidRDefault="0028202B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Unntaksv</w:t>
      </w:r>
      <w:r w:rsidR="00E5482C">
        <w:rPr>
          <w:sz w:val="24"/>
          <w:szCs w:val="24"/>
        </w:rPr>
        <w:t>ilkåret «vesentlig ulempe for virksomheten» i</w:t>
      </w:r>
      <w:proofErr w:type="gramStart"/>
      <w:r w:rsidR="00E5482C">
        <w:rPr>
          <w:sz w:val="24"/>
          <w:szCs w:val="24"/>
        </w:rPr>
        <w:t xml:space="preserve"> §14</w:t>
      </w:r>
      <w:proofErr w:type="gramEnd"/>
      <w:r w:rsidR="00E5482C">
        <w:rPr>
          <w:sz w:val="24"/>
          <w:szCs w:val="24"/>
        </w:rPr>
        <w:t>-3 andre ledd var i forarbeidene ment som en «sikkerhetsventil»</w:t>
      </w:r>
      <w:r>
        <w:rPr>
          <w:sz w:val="24"/>
          <w:szCs w:val="24"/>
        </w:rPr>
        <w:t xml:space="preserve"> i de tilfellene fortrinnsretten ville slå urimelig ut for virksomheten</w:t>
      </w:r>
      <w:r w:rsidR="00E5482C">
        <w:rPr>
          <w:sz w:val="24"/>
          <w:szCs w:val="24"/>
        </w:rPr>
        <w:t xml:space="preserve">. </w:t>
      </w:r>
      <w:proofErr w:type="spellStart"/>
      <w:r w:rsidR="00E5482C">
        <w:rPr>
          <w:sz w:val="24"/>
          <w:szCs w:val="24"/>
        </w:rPr>
        <w:t>Fafos</w:t>
      </w:r>
      <w:proofErr w:type="spellEnd"/>
      <w:r w:rsidR="00E5482C">
        <w:rPr>
          <w:sz w:val="24"/>
          <w:szCs w:val="24"/>
        </w:rPr>
        <w:t xml:space="preserve"> gjennomgang av Tvisteløsningsnemndas praksis viser at arbeidsgivere får medhol</w:t>
      </w:r>
      <w:r>
        <w:rPr>
          <w:sz w:val="24"/>
          <w:szCs w:val="24"/>
        </w:rPr>
        <w:t>d i to av tre saker. Ordlyden «vesentlig ulempe» bør</w:t>
      </w:r>
      <w:r w:rsidR="00E5482C">
        <w:rPr>
          <w:sz w:val="24"/>
          <w:szCs w:val="24"/>
        </w:rPr>
        <w:t xml:space="preserve"> medføre en meget høy terskel f</w:t>
      </w:r>
      <w:r>
        <w:rPr>
          <w:sz w:val="24"/>
          <w:szCs w:val="24"/>
        </w:rPr>
        <w:t>or at vilkåret anses</w:t>
      </w:r>
      <w:r w:rsidR="00E5482C">
        <w:rPr>
          <w:sz w:val="24"/>
          <w:szCs w:val="24"/>
        </w:rPr>
        <w:t xml:space="preserve"> oppfylt, og som en følge av forarbeidenes beskrivelse av vilkåret som en sikkerhetsventil burde det få anvendelse på et fåtall av saker. Det virker som at Tvisteløsningsnemndas praksis ikke gjenspeiler det </w:t>
      </w:r>
      <w:proofErr w:type="spellStart"/>
      <w:r w:rsidR="00E5482C">
        <w:rPr>
          <w:sz w:val="24"/>
          <w:szCs w:val="24"/>
        </w:rPr>
        <w:t>lovsteksten</w:t>
      </w:r>
      <w:proofErr w:type="spellEnd"/>
      <w:r w:rsidR="00E5482C">
        <w:rPr>
          <w:sz w:val="24"/>
          <w:szCs w:val="24"/>
        </w:rPr>
        <w:t xml:space="preserve"> og forarbeidene legger opp til. Vi mener at hensynet til arbeidsgivers styringsrett går </w:t>
      </w:r>
      <w:r>
        <w:rPr>
          <w:sz w:val="24"/>
          <w:szCs w:val="24"/>
        </w:rPr>
        <w:t>på</w:t>
      </w:r>
      <w:r w:rsidR="00E5482C">
        <w:rPr>
          <w:sz w:val="24"/>
          <w:szCs w:val="24"/>
        </w:rPr>
        <w:t xml:space="preserve"> bekostning av arbeidstakers behov </w:t>
      </w:r>
      <w:r>
        <w:rPr>
          <w:sz w:val="24"/>
          <w:szCs w:val="24"/>
        </w:rPr>
        <w:t>og vektlegges langt sterkere</w:t>
      </w:r>
      <w:r w:rsidR="00E5482C">
        <w:rPr>
          <w:sz w:val="24"/>
          <w:szCs w:val="24"/>
        </w:rPr>
        <w:t xml:space="preserve"> enn det lovgiver har ment.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sz w:val="24"/>
          <w:szCs w:val="24"/>
        </w:rPr>
        <w:t>Juss-Buss mener at arbeidstakers fortrinnsrett kan ivaretas bedre dersom det i enda større grad legges opp til en interesseavveining mellom arbeidstaker og arbeidsgiver, der spesielt arbeidstakerens behov for en utvidet stilling vektlegges.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Konklusjon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Juss-Buss stiller seg bak forslagene om å lovfeste en drøftelsesplikt for deltidsstillinger i arbeidsmiljøloven. Samtidig med at drøftelsesplikten innføres </w:t>
      </w:r>
      <w:r w:rsidR="0028202B">
        <w:rPr>
          <w:sz w:val="24"/>
          <w:szCs w:val="24"/>
        </w:rPr>
        <w:t xml:space="preserve">bør kravene til </w:t>
      </w:r>
      <w:r>
        <w:rPr>
          <w:sz w:val="24"/>
          <w:szCs w:val="24"/>
        </w:rPr>
        <w:t>drøftelsen</w:t>
      </w:r>
      <w:r w:rsidR="0028202B">
        <w:rPr>
          <w:sz w:val="24"/>
          <w:szCs w:val="24"/>
        </w:rPr>
        <w:t xml:space="preserve"> presiseres</w:t>
      </w:r>
      <w:r>
        <w:rPr>
          <w:sz w:val="24"/>
          <w:szCs w:val="24"/>
        </w:rPr>
        <w:t xml:space="preserve">, med en plikt til å føre dokumentasjon </w:t>
      </w:r>
      <w:r w:rsidR="0028202B">
        <w:rPr>
          <w:sz w:val="24"/>
          <w:szCs w:val="24"/>
        </w:rPr>
        <w:t>for</w:t>
      </w:r>
      <w:r>
        <w:rPr>
          <w:sz w:val="24"/>
          <w:szCs w:val="24"/>
        </w:rPr>
        <w:t xml:space="preserve"> behovet for deltidsstillinger i bedriftene. Arbeidstilsynet b</w:t>
      </w:r>
      <w:r w:rsidR="0028202B">
        <w:rPr>
          <w:sz w:val="24"/>
          <w:szCs w:val="24"/>
        </w:rPr>
        <w:t>ør</w:t>
      </w:r>
      <w:r>
        <w:rPr>
          <w:sz w:val="24"/>
          <w:szCs w:val="24"/>
        </w:rPr>
        <w:t xml:space="preserve"> fungere som </w:t>
      </w:r>
      <w:proofErr w:type="spellStart"/>
      <w:r>
        <w:rPr>
          <w:sz w:val="24"/>
          <w:szCs w:val="24"/>
        </w:rPr>
        <w:t>håndhevningsorgan</w:t>
      </w:r>
      <w:proofErr w:type="spellEnd"/>
      <w:r>
        <w:rPr>
          <w:sz w:val="24"/>
          <w:szCs w:val="24"/>
        </w:rPr>
        <w:t xml:space="preserve"> for drøftelsesplikten.</w:t>
      </w:r>
    </w:p>
    <w:p w:rsidR="00E5482C" w:rsidRDefault="00E5482C" w:rsidP="00E5482C">
      <w:pPr>
        <w:jc w:val="both"/>
        <w:rPr>
          <w:sz w:val="24"/>
          <w:szCs w:val="24"/>
        </w:rPr>
      </w:pPr>
    </w:p>
    <w:p w:rsidR="00E5482C" w:rsidRDefault="00E5482C" w:rsidP="00E548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Vi støtter kravet om at merarbeidet må ha pågått jevnlig i minst 12 måneder for at en ansatt skal ha rett til en utvidet stilling. Tvisteløsningsnemnda b</w:t>
      </w:r>
      <w:r w:rsidR="0028202B">
        <w:rPr>
          <w:sz w:val="24"/>
          <w:szCs w:val="24"/>
        </w:rPr>
        <w:t>ør</w:t>
      </w:r>
      <w:r>
        <w:rPr>
          <w:sz w:val="24"/>
          <w:szCs w:val="24"/>
        </w:rPr>
        <w:t xml:space="preserve"> også gis kompetanse til å avgjøre tvister etter den foreslåtte</w:t>
      </w:r>
      <w:proofErr w:type="gramStart"/>
      <w:r>
        <w:rPr>
          <w:sz w:val="24"/>
          <w:szCs w:val="24"/>
        </w:rPr>
        <w:t xml:space="preserve"> §14</w:t>
      </w:r>
      <w:proofErr w:type="gramEnd"/>
      <w:r>
        <w:rPr>
          <w:sz w:val="24"/>
          <w:szCs w:val="24"/>
        </w:rPr>
        <w:t>-4 andre ledd i arbeidsmiljøloven, dette med bakgrunn i organets spesielle kompetanse i slike saker.  Tvisteløsningsnemnda vil kunne fungere som et lavterskeltilbud hvor prosessrisikoen senkes for arbeidstakere ved en eventuell tvist.</w:t>
      </w:r>
    </w:p>
    <w:p w:rsidR="00E5482C" w:rsidRDefault="00E5482C" w:rsidP="00E5482C">
      <w:pPr>
        <w:jc w:val="both"/>
        <w:rPr>
          <w:b/>
          <w:sz w:val="24"/>
          <w:szCs w:val="24"/>
        </w:rPr>
      </w:pPr>
    </w:p>
    <w:p w:rsidR="00E5482C" w:rsidRDefault="00E5482C" w:rsidP="00E5482C">
      <w:pPr>
        <w:jc w:val="both"/>
      </w:pPr>
      <w:r>
        <w:rPr>
          <w:sz w:val="24"/>
          <w:szCs w:val="24"/>
        </w:rPr>
        <w:t xml:space="preserve">Fortrinnsretten for deltidsansatte bør være reell. Juss-Buss mener at kravet om at </w:t>
      </w:r>
      <w:proofErr w:type="gramStart"/>
      <w:r>
        <w:rPr>
          <w:sz w:val="24"/>
          <w:szCs w:val="24"/>
        </w:rPr>
        <w:t>den ansatte</w:t>
      </w:r>
      <w:proofErr w:type="gramEnd"/>
      <w:r>
        <w:rPr>
          <w:sz w:val="24"/>
          <w:szCs w:val="24"/>
        </w:rPr>
        <w:t xml:space="preserve"> må være ”kvalifisert” i dagens lovverk gir arbeidsgivere en for vid adgang til å omgå fortrinnsretten, og at </w:t>
      </w:r>
      <w:r>
        <w:rPr>
          <w:sz w:val="24"/>
          <w:szCs w:val="24"/>
        </w:rPr>
        <w:lastRenderedPageBreak/>
        <w:t xml:space="preserve">vurderingsmomentene for om vilkåret er oppfylt derfor bør presiseres. Det bør stilles større krav til at vurderingen av </w:t>
      </w:r>
      <w:r w:rsidR="00357C6A">
        <w:rPr>
          <w:sz w:val="24"/>
          <w:szCs w:val="24"/>
        </w:rPr>
        <w:t xml:space="preserve">om </w:t>
      </w:r>
      <w:r w:rsidR="0028202B">
        <w:rPr>
          <w:sz w:val="24"/>
          <w:szCs w:val="24"/>
        </w:rPr>
        <w:t>fortrinnsretten medfører</w:t>
      </w:r>
      <w:r>
        <w:rPr>
          <w:sz w:val="24"/>
          <w:szCs w:val="24"/>
        </w:rPr>
        <w:t xml:space="preserve"> en ”vesentlig ulempe” gjøres ut i fra en interesseavveining. I denne avveiningen bør arbeidstakerens behov for en stø</w:t>
      </w:r>
      <w:r w:rsidR="00357C6A">
        <w:rPr>
          <w:sz w:val="24"/>
          <w:szCs w:val="24"/>
        </w:rPr>
        <w:t>rre stilling få større vekt enn det har i dag når det veies opp mot hvorvidt</w:t>
      </w:r>
      <w:r>
        <w:rPr>
          <w:sz w:val="24"/>
          <w:szCs w:val="24"/>
        </w:rPr>
        <w:t xml:space="preserve"> bedriften får en ”vesentlig ulempe” v</w:t>
      </w:r>
      <w:r w:rsidR="00357C6A">
        <w:rPr>
          <w:sz w:val="24"/>
          <w:szCs w:val="24"/>
        </w:rPr>
        <w:t>ed å øke stillingen</w:t>
      </w:r>
      <w:r>
        <w:rPr>
          <w:sz w:val="24"/>
          <w:szCs w:val="24"/>
        </w:rPr>
        <w:t>.</w:t>
      </w:r>
    </w:p>
    <w:p w:rsidR="00F55CE3" w:rsidRPr="00F55CE3" w:rsidRDefault="00F55CE3" w:rsidP="00E5482C">
      <w:pPr>
        <w:pStyle w:val="Bildetekst"/>
        <w:jc w:val="both"/>
      </w:pPr>
    </w:p>
    <w:sectPr w:rsidR="00F55CE3" w:rsidRPr="00F55CE3" w:rsidSect="00E5482C">
      <w:footerReference w:type="default" r:id="rId9"/>
      <w:headerReference w:type="first" r:id="rId10"/>
      <w:footerReference w:type="first" r:id="rId11"/>
      <w:pgSz w:w="11906" w:h="16838"/>
      <w:pgMar w:top="921" w:right="1008" w:bottom="907" w:left="1008" w:header="86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A5" w:rsidRDefault="00E778A5" w:rsidP="007F2803">
      <w:r>
        <w:separator/>
      </w:r>
    </w:p>
  </w:endnote>
  <w:endnote w:type="continuationSeparator" w:id="0">
    <w:p w:rsidR="00E778A5" w:rsidRDefault="00E778A5" w:rsidP="007F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FF" w:rsidRDefault="00D32EFF">
    <w:pPr>
      <w:pStyle w:val="Bunntekst"/>
      <w:tabs>
        <w:tab w:val="clear" w:pos="4536"/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FF" w:rsidRDefault="00D32EFF">
    <w:pPr>
      <w:pStyle w:val="Bunntekst"/>
      <w:jc w:val="right"/>
    </w:pPr>
  </w:p>
  <w:p w:rsidR="00D32EFF" w:rsidRDefault="00D32EFF">
    <w:pPr>
      <w:pStyle w:val="Bunntekst"/>
      <w:jc w:val="right"/>
    </w:pPr>
    <w:r>
      <w:t xml:space="preserve">Side </w:t>
    </w:r>
    <w:r w:rsidR="00B742D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742D1">
      <w:rPr>
        <w:b/>
        <w:sz w:val="24"/>
        <w:szCs w:val="24"/>
      </w:rPr>
      <w:fldChar w:fldCharType="separate"/>
    </w:r>
    <w:r w:rsidR="00E5482C">
      <w:rPr>
        <w:b/>
        <w:noProof/>
      </w:rPr>
      <w:t>2</w:t>
    </w:r>
    <w:r w:rsidR="00B742D1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</w:t>
    </w:r>
    <w:r>
      <w:t xml:space="preserve">av </w:t>
    </w:r>
    <w:r w:rsidR="00B742D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742D1">
      <w:rPr>
        <w:b/>
        <w:sz w:val="24"/>
        <w:szCs w:val="24"/>
      </w:rPr>
      <w:fldChar w:fldCharType="separate"/>
    </w:r>
    <w:r w:rsidR="00696F08">
      <w:rPr>
        <w:b/>
        <w:noProof/>
      </w:rPr>
      <w:t>4</w:t>
    </w:r>
    <w:r w:rsidR="00B742D1">
      <w:rPr>
        <w:b/>
        <w:sz w:val="24"/>
        <w:szCs w:val="24"/>
      </w:rPr>
      <w:fldChar w:fldCharType="end"/>
    </w:r>
  </w:p>
  <w:p w:rsidR="00D32EFF" w:rsidRPr="00335722" w:rsidRDefault="00D32EFF" w:rsidP="00D32EFF">
    <w:pPr>
      <w:pStyle w:val="Bunntekst"/>
      <w:tabs>
        <w:tab w:val="clear" w:pos="4536"/>
        <w:tab w:val="clear" w:pos="9072"/>
      </w:tabs>
      <w:rPr>
        <w:rFonts w:ascii="Arial Rounded MT Bold" w:hAnsi="Arial Rounded MT Bold" w:cs="Arial"/>
        <w:color w:val="7A26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A5" w:rsidRDefault="00E778A5" w:rsidP="007F2803">
      <w:r>
        <w:separator/>
      </w:r>
    </w:p>
  </w:footnote>
  <w:footnote w:type="continuationSeparator" w:id="0">
    <w:p w:rsidR="00E778A5" w:rsidRDefault="00E778A5" w:rsidP="007F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0" w:rsidRDefault="00AE58D0">
    <w:pPr>
      <w:pStyle w:val="Topptekst"/>
    </w:pPr>
    <w:r>
      <w:rPr>
        <w:noProof/>
      </w:rPr>
      <w:drawing>
        <wp:inline distT="0" distB="0" distL="0" distR="0">
          <wp:extent cx="6280150" cy="1246505"/>
          <wp:effectExtent l="19050" t="0" r="6350" b="0"/>
          <wp:docPr id="4" name="Picture 3" descr="Høring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øring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150" cy="124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570" w:rsidRDefault="002D457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FF" w:rsidRDefault="00D32EFF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-20320</wp:posOffset>
          </wp:positionV>
          <wp:extent cx="1876425" cy="934720"/>
          <wp:effectExtent l="19050" t="0" r="9525" b="0"/>
          <wp:wrapTight wrapText="bothSides">
            <wp:wrapPolygon edited="0">
              <wp:start x="-219" y="0"/>
              <wp:lineTo x="-219" y="21130"/>
              <wp:lineTo x="21710" y="21130"/>
              <wp:lineTo x="21710" y="0"/>
              <wp:lineTo x="-219" y="0"/>
            </wp:wrapPolygon>
          </wp:wrapTight>
          <wp:docPr id="2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8"/>
      <w:gridCol w:w="2689"/>
      <w:gridCol w:w="4479"/>
    </w:tblGrid>
    <w:tr w:rsidR="00D32EFF" w:rsidTr="00D32EFF">
      <w:trPr>
        <w:trHeight w:val="516"/>
      </w:trPr>
      <w:tc>
        <w:tcPr>
          <w:tcW w:w="2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EFF" w:rsidRDefault="00D32EFF" w:rsidP="00D32EFF">
          <w:pPr>
            <w:pStyle w:val="Topptekst"/>
          </w:pPr>
        </w:p>
        <w:p w:rsidR="00D32EFF" w:rsidRDefault="00D32EFF" w:rsidP="00D32EFF">
          <w:pPr>
            <w:pStyle w:val="Topptekst"/>
          </w:pPr>
        </w:p>
        <w:p w:rsidR="00D32EFF" w:rsidRDefault="00D32EFF" w:rsidP="00D32EFF">
          <w:pPr>
            <w:pStyle w:val="Topptekst"/>
          </w:pPr>
        </w:p>
        <w:p w:rsidR="00D32EFF" w:rsidRDefault="00D32EFF" w:rsidP="00D32EFF">
          <w:pPr>
            <w:pStyle w:val="Topptekst"/>
          </w:pPr>
        </w:p>
        <w:p w:rsidR="00D32EFF" w:rsidRDefault="00D32EFF" w:rsidP="00D32EFF">
          <w:pPr>
            <w:pStyle w:val="Topptekst"/>
          </w:pPr>
        </w:p>
      </w:tc>
      <w:tc>
        <w:tcPr>
          <w:tcW w:w="26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EFF" w:rsidRDefault="00D32EFF" w:rsidP="00D32EFF">
          <w:pPr>
            <w:pStyle w:val="Topptekst"/>
          </w:pPr>
        </w:p>
      </w:tc>
      <w:tc>
        <w:tcPr>
          <w:tcW w:w="4479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0" w:type="auto"/>
            <w:tblInd w:w="610" w:type="dxa"/>
            <w:tblLook w:val="01E0" w:firstRow="1" w:lastRow="1" w:firstColumn="1" w:lastColumn="1" w:noHBand="0" w:noVBand="0"/>
          </w:tblPr>
          <w:tblGrid>
            <w:gridCol w:w="1514"/>
            <w:gridCol w:w="2124"/>
          </w:tblGrid>
          <w:tr w:rsidR="00D32EFF" w:rsidRPr="00FF4024" w:rsidTr="00D32EFF">
            <w:trPr>
              <w:trHeight w:val="617"/>
            </w:trPr>
            <w:tc>
              <w:tcPr>
                <w:tcW w:w="1514" w:type="dxa"/>
              </w:tcPr>
              <w:p w:rsidR="00D32EFF" w:rsidRPr="00FF4024" w:rsidRDefault="00D32EFF" w:rsidP="00D32EFF">
                <w:pPr>
                  <w:pStyle w:val="Topptekst"/>
                  <w:tabs>
                    <w:tab w:val="left" w:pos="77"/>
                  </w:tabs>
                  <w:ind w:right="147"/>
                  <w:rPr>
                    <w:noProof/>
                    <w:lang w:val="en-US" w:eastAsia="en-US"/>
                  </w:rPr>
                </w:pPr>
                <w:r>
                  <w:t>Arbins gate 7 0253 Oslo</w:t>
                </w:r>
              </w:p>
            </w:tc>
            <w:tc>
              <w:tcPr>
                <w:tcW w:w="2124" w:type="dxa"/>
              </w:tcPr>
              <w:p w:rsidR="00D32EFF" w:rsidRPr="00FF4024" w:rsidRDefault="00D32EFF" w:rsidP="00D32EFF">
                <w:pPr>
                  <w:pStyle w:val="Topptekst"/>
                  <w:jc w:val="right"/>
                  <w:rPr>
                    <w:noProof/>
                    <w:lang w:val="en-US" w:eastAsia="en-US"/>
                  </w:rPr>
                </w:pPr>
              </w:p>
            </w:tc>
          </w:tr>
          <w:tr w:rsidR="00D32EFF" w:rsidRPr="00FF4024" w:rsidTr="00D32EFF">
            <w:tc>
              <w:tcPr>
                <w:tcW w:w="1514" w:type="dxa"/>
              </w:tcPr>
              <w:p w:rsidR="00D32EFF" w:rsidRDefault="00D32EFF" w:rsidP="00D32EFF">
                <w:pPr>
                  <w:pStyle w:val="Brdtekst"/>
                  <w:tabs>
                    <w:tab w:val="left" w:pos="77"/>
                  </w:tabs>
                  <w:jc w:val="left"/>
                </w:pPr>
                <w:r>
                  <w:t>Sentralbord</w:t>
                </w:r>
              </w:p>
            </w:tc>
            <w:tc>
              <w:tcPr>
                <w:tcW w:w="2124" w:type="dxa"/>
              </w:tcPr>
              <w:p w:rsidR="00D32EFF" w:rsidRDefault="00D32EFF" w:rsidP="00D32EFF">
                <w:pPr>
                  <w:pStyle w:val="Brdtekst"/>
                </w:pPr>
                <w:r>
                  <w:t>22 84 29 00</w:t>
                </w:r>
              </w:p>
            </w:tc>
          </w:tr>
          <w:tr w:rsidR="00D32EFF" w:rsidRPr="00FF4024" w:rsidTr="00D32EFF">
            <w:tc>
              <w:tcPr>
                <w:tcW w:w="1514" w:type="dxa"/>
              </w:tcPr>
              <w:p w:rsidR="00D32EFF" w:rsidRDefault="00D32EFF" w:rsidP="00D32EFF">
                <w:pPr>
                  <w:pStyle w:val="Brdtekst"/>
                  <w:tabs>
                    <w:tab w:val="left" w:pos="77"/>
                  </w:tabs>
                  <w:jc w:val="left"/>
                </w:pPr>
                <w:r>
                  <w:t>Telefaks</w:t>
                </w:r>
              </w:p>
            </w:tc>
            <w:tc>
              <w:tcPr>
                <w:tcW w:w="2124" w:type="dxa"/>
              </w:tcPr>
              <w:p w:rsidR="00D32EFF" w:rsidRDefault="00D32EFF" w:rsidP="00D32EFF">
                <w:pPr>
                  <w:pStyle w:val="Brdtekst"/>
                </w:pPr>
                <w:r>
                  <w:t>22 84 29 01</w:t>
                </w:r>
              </w:p>
            </w:tc>
          </w:tr>
          <w:tr w:rsidR="00D32EFF" w:rsidRPr="00D542D4" w:rsidTr="00D32EFF">
            <w:tc>
              <w:tcPr>
                <w:tcW w:w="1514" w:type="dxa"/>
              </w:tcPr>
              <w:p w:rsidR="00D32EFF" w:rsidRDefault="00D32EFF" w:rsidP="00D32EFF">
                <w:pPr>
                  <w:pStyle w:val="Brdtekst"/>
                  <w:tabs>
                    <w:tab w:val="left" w:pos="77"/>
                  </w:tabs>
                  <w:jc w:val="left"/>
                </w:pPr>
                <w:r>
                  <w:t>Internett</w:t>
                </w:r>
              </w:p>
            </w:tc>
            <w:tc>
              <w:tcPr>
                <w:tcW w:w="2124" w:type="dxa"/>
              </w:tcPr>
              <w:p w:rsidR="00D32EFF" w:rsidRDefault="00D32EFF" w:rsidP="00D32EFF">
                <w:pPr>
                  <w:pStyle w:val="Brdtekst"/>
                </w:pPr>
                <w:r>
                  <w:t>http://www.jussbuss.no</w:t>
                </w:r>
              </w:p>
            </w:tc>
          </w:tr>
        </w:tbl>
        <w:p w:rsidR="00D32EFF" w:rsidRPr="00D542D4" w:rsidRDefault="00D32EFF" w:rsidP="00D32EFF">
          <w:pPr>
            <w:pStyle w:val="Topptekst"/>
            <w:jc w:val="right"/>
            <w:rPr>
              <w:noProof/>
              <w:lang w:eastAsia="en-US"/>
            </w:rPr>
          </w:pPr>
        </w:p>
      </w:tc>
    </w:tr>
    <w:tr w:rsidR="00D32EFF" w:rsidTr="00D32EFF">
      <w:tc>
        <w:tcPr>
          <w:tcW w:w="2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2EFF" w:rsidRDefault="00D32EFF" w:rsidP="00D32EFF">
          <w:pPr>
            <w:pStyle w:val="Brdtekst"/>
            <w:jc w:val="left"/>
          </w:pPr>
          <w:r>
            <w:t>Juss-studentenes rettsinformasjon</w:t>
          </w:r>
        </w:p>
      </w:tc>
      <w:tc>
        <w:tcPr>
          <w:tcW w:w="268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2EFF" w:rsidRDefault="00D32EFF" w:rsidP="00D32EFF">
          <w:pPr>
            <w:pStyle w:val="Brdtekst"/>
            <w:jc w:val="left"/>
          </w:pPr>
        </w:p>
      </w:tc>
      <w:tc>
        <w:tcPr>
          <w:tcW w:w="44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2EFF" w:rsidRDefault="00D32EFF" w:rsidP="00D32EFF">
          <w:pPr>
            <w:pStyle w:val="Brdtekst"/>
          </w:pPr>
        </w:p>
      </w:tc>
    </w:tr>
  </w:tbl>
  <w:p w:rsidR="00D32EFF" w:rsidRPr="00735EB5" w:rsidRDefault="00D32EFF" w:rsidP="00D32EFF">
    <w:pPr>
      <w:pStyle w:val="Topptekst"/>
      <w:ind w:right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D2"/>
    <w:rsid w:val="00003A36"/>
    <w:rsid w:val="00036A9F"/>
    <w:rsid w:val="0008460E"/>
    <w:rsid w:val="00087CBE"/>
    <w:rsid w:val="000E766E"/>
    <w:rsid w:val="001256DF"/>
    <w:rsid w:val="0012723B"/>
    <w:rsid w:val="00150A09"/>
    <w:rsid w:val="001B214B"/>
    <w:rsid w:val="001B73E8"/>
    <w:rsid w:val="0020076C"/>
    <w:rsid w:val="00202604"/>
    <w:rsid w:val="00214606"/>
    <w:rsid w:val="00223482"/>
    <w:rsid w:val="00272E19"/>
    <w:rsid w:val="002777A1"/>
    <w:rsid w:val="0028202B"/>
    <w:rsid w:val="002904A0"/>
    <w:rsid w:val="002C7E48"/>
    <w:rsid w:val="002D4570"/>
    <w:rsid w:val="003072AB"/>
    <w:rsid w:val="003311FD"/>
    <w:rsid w:val="00346E63"/>
    <w:rsid w:val="00357C6A"/>
    <w:rsid w:val="003603DF"/>
    <w:rsid w:val="00360B9E"/>
    <w:rsid w:val="00361B8A"/>
    <w:rsid w:val="00373B37"/>
    <w:rsid w:val="00381DDD"/>
    <w:rsid w:val="003B0253"/>
    <w:rsid w:val="003D5517"/>
    <w:rsid w:val="00404566"/>
    <w:rsid w:val="00407027"/>
    <w:rsid w:val="00472029"/>
    <w:rsid w:val="004C2181"/>
    <w:rsid w:val="00526076"/>
    <w:rsid w:val="00546798"/>
    <w:rsid w:val="00557A4C"/>
    <w:rsid w:val="0065503D"/>
    <w:rsid w:val="006827EF"/>
    <w:rsid w:val="006921DA"/>
    <w:rsid w:val="00696F08"/>
    <w:rsid w:val="006A024B"/>
    <w:rsid w:val="006B4F59"/>
    <w:rsid w:val="006B5C7C"/>
    <w:rsid w:val="006C41B6"/>
    <w:rsid w:val="006E241C"/>
    <w:rsid w:val="006E3628"/>
    <w:rsid w:val="0071400A"/>
    <w:rsid w:val="00732DDD"/>
    <w:rsid w:val="00736459"/>
    <w:rsid w:val="007577EE"/>
    <w:rsid w:val="007630DF"/>
    <w:rsid w:val="00782BB2"/>
    <w:rsid w:val="007A0564"/>
    <w:rsid w:val="007F2803"/>
    <w:rsid w:val="00864AC6"/>
    <w:rsid w:val="00866F3A"/>
    <w:rsid w:val="008D065D"/>
    <w:rsid w:val="00950F36"/>
    <w:rsid w:val="009513D2"/>
    <w:rsid w:val="009550D6"/>
    <w:rsid w:val="00964F86"/>
    <w:rsid w:val="00980494"/>
    <w:rsid w:val="009B2608"/>
    <w:rsid w:val="009C7206"/>
    <w:rsid w:val="009E1613"/>
    <w:rsid w:val="009E70B5"/>
    <w:rsid w:val="00A1269E"/>
    <w:rsid w:val="00A22BEA"/>
    <w:rsid w:val="00A5065D"/>
    <w:rsid w:val="00A86957"/>
    <w:rsid w:val="00AE58D0"/>
    <w:rsid w:val="00AF5EC9"/>
    <w:rsid w:val="00B742D1"/>
    <w:rsid w:val="00BC23DF"/>
    <w:rsid w:val="00BD7DA5"/>
    <w:rsid w:val="00C04E33"/>
    <w:rsid w:val="00C16855"/>
    <w:rsid w:val="00C47FFD"/>
    <w:rsid w:val="00C81CA3"/>
    <w:rsid w:val="00CB6D89"/>
    <w:rsid w:val="00CC3C16"/>
    <w:rsid w:val="00CD1C8E"/>
    <w:rsid w:val="00CF17F3"/>
    <w:rsid w:val="00D02F81"/>
    <w:rsid w:val="00D07C7C"/>
    <w:rsid w:val="00D32EFF"/>
    <w:rsid w:val="00D408E3"/>
    <w:rsid w:val="00D64993"/>
    <w:rsid w:val="00DB7D90"/>
    <w:rsid w:val="00DC0FE6"/>
    <w:rsid w:val="00DD159A"/>
    <w:rsid w:val="00DF0BF4"/>
    <w:rsid w:val="00E3399B"/>
    <w:rsid w:val="00E3435A"/>
    <w:rsid w:val="00E5482C"/>
    <w:rsid w:val="00E6609C"/>
    <w:rsid w:val="00E778A5"/>
    <w:rsid w:val="00EB264F"/>
    <w:rsid w:val="00EB6F8D"/>
    <w:rsid w:val="00ED536D"/>
    <w:rsid w:val="00F21A8B"/>
    <w:rsid w:val="00F43557"/>
    <w:rsid w:val="00F55CE3"/>
    <w:rsid w:val="00F8403B"/>
    <w:rsid w:val="00F96EC3"/>
    <w:rsid w:val="00FB12C9"/>
    <w:rsid w:val="00FC4D02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9513D2"/>
    <w:pPr>
      <w:keepNext/>
      <w:tabs>
        <w:tab w:val="left" w:pos="3140"/>
      </w:tabs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513D2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9513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rsid w:val="009513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rdtekst">
    <w:name w:val="Body Text"/>
    <w:basedOn w:val="Normal"/>
    <w:link w:val="BrdtekstTegn"/>
    <w:rsid w:val="009513D2"/>
    <w:pPr>
      <w:jc w:val="right"/>
    </w:pPr>
  </w:style>
  <w:style w:type="character" w:customStyle="1" w:styleId="BrdtekstTegn">
    <w:name w:val="Brødtekst Tegn"/>
    <w:basedOn w:val="Standardskriftforavsnitt"/>
    <w:link w:val="Brdtekst"/>
    <w:rsid w:val="009513D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ildetekst">
    <w:name w:val="caption"/>
    <w:basedOn w:val="Normal"/>
    <w:next w:val="Normal"/>
    <w:qFormat/>
    <w:rsid w:val="009513D2"/>
    <w:pPr>
      <w:tabs>
        <w:tab w:val="left" w:pos="7920"/>
      </w:tabs>
    </w:pPr>
    <w:rPr>
      <w:sz w:val="24"/>
    </w:rPr>
  </w:style>
  <w:style w:type="character" w:styleId="Hyperkobling">
    <w:name w:val="Hyperlink"/>
    <w:basedOn w:val="Standardskriftforavsnitt"/>
    <w:rsid w:val="009513D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3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3D2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unhideWhenUsed/>
    <w:rsid w:val="009C720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erk">
    <w:name w:val="Strong"/>
    <w:basedOn w:val="Standardskriftforavsnitt"/>
    <w:uiPriority w:val="22"/>
    <w:qFormat/>
    <w:rsid w:val="009C7206"/>
    <w:rPr>
      <w:b/>
      <w:bCs/>
    </w:rPr>
  </w:style>
  <w:style w:type="paragraph" w:customStyle="1" w:styleId="Caption1">
    <w:name w:val="Caption1"/>
    <w:basedOn w:val="Normal"/>
    <w:rsid w:val="00E5482C"/>
    <w:pPr>
      <w:tabs>
        <w:tab w:val="left" w:pos="7920"/>
      </w:tabs>
      <w:suppressAutoHyphens/>
      <w:spacing w:line="100" w:lineRule="atLeast"/>
    </w:pPr>
    <w:rPr>
      <w:kern w:val="2"/>
      <w:sz w:val="24"/>
      <w:lang w:eastAsia="ar-SA"/>
    </w:rPr>
  </w:style>
  <w:style w:type="character" w:customStyle="1" w:styleId="apple-converted-space">
    <w:name w:val="apple-converted-space"/>
    <w:basedOn w:val="Standardskriftforavsnitt"/>
    <w:rsid w:val="0040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espenwi_loc</dc:creator>
  <cp:lastModifiedBy>Erling</cp:lastModifiedBy>
  <cp:revision>4</cp:revision>
  <cp:lastPrinted>2013-02-07T15:45:00Z</cp:lastPrinted>
  <dcterms:created xsi:type="dcterms:W3CDTF">2013-02-08T14:25:00Z</dcterms:created>
  <dcterms:modified xsi:type="dcterms:W3CDTF">2013-02-08T19:02:00Z</dcterms:modified>
</cp:coreProperties>
</file>