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0" w:type="dxa"/>
        <w:tblCellMar>
          <w:left w:w="70" w:type="dxa"/>
          <w:right w:w="70" w:type="dxa"/>
        </w:tblCellMar>
        <w:tblLook w:val="0000"/>
      </w:tblPr>
      <w:tblGrid>
        <w:gridCol w:w="7513"/>
        <w:gridCol w:w="2410"/>
      </w:tblGrid>
      <w:tr w:rsidR="00407939" w:rsidRPr="001058CC">
        <w:trPr>
          <w:trHeight w:val="875"/>
        </w:trPr>
        <w:tc>
          <w:tcPr>
            <w:tcW w:w="7513" w:type="dxa"/>
          </w:tcPr>
          <w:p w:rsidR="00DC010B" w:rsidRDefault="00AC72B7" w:rsidP="00672ED4">
            <w:pPr>
              <w:tabs>
                <w:tab w:val="left" w:pos="7920"/>
              </w:tabs>
              <w:rPr>
                <w:b/>
                <w:bCs/>
                <w:sz w:val="24"/>
                <w:szCs w:val="24"/>
              </w:rPr>
            </w:pPr>
            <w:r>
              <w:rPr>
                <w:b/>
                <w:bCs/>
                <w:sz w:val="24"/>
                <w:szCs w:val="24"/>
              </w:rPr>
              <w:t>Justisdepartementets lovavdeling</w:t>
            </w:r>
          </w:p>
          <w:p w:rsidR="00AC72B7" w:rsidRPr="00F30E4D" w:rsidRDefault="00AC72B7" w:rsidP="00672ED4">
            <w:pPr>
              <w:tabs>
                <w:tab w:val="left" w:pos="7920"/>
              </w:tabs>
              <w:rPr>
                <w:b/>
                <w:bCs/>
                <w:sz w:val="24"/>
                <w:szCs w:val="24"/>
              </w:rPr>
            </w:pPr>
            <w:r>
              <w:rPr>
                <w:b/>
                <w:bCs/>
                <w:sz w:val="24"/>
                <w:szCs w:val="24"/>
              </w:rPr>
              <w:t xml:space="preserve">v/ </w:t>
            </w:r>
            <w:r w:rsidRPr="00AC72B7">
              <w:rPr>
                <w:b/>
                <w:bCs/>
                <w:sz w:val="24"/>
                <w:szCs w:val="24"/>
              </w:rPr>
              <w:t>Audgunn Syse</w:t>
            </w:r>
          </w:p>
        </w:tc>
        <w:tc>
          <w:tcPr>
            <w:tcW w:w="2410" w:type="dxa"/>
          </w:tcPr>
          <w:p w:rsidR="00407939" w:rsidRPr="001058CC" w:rsidRDefault="00407939" w:rsidP="00404FCD">
            <w:pPr>
              <w:tabs>
                <w:tab w:val="left" w:pos="7380"/>
              </w:tabs>
              <w:spacing w:line="0" w:lineRule="atLeast"/>
              <w:rPr>
                <w:b/>
                <w:bCs/>
              </w:rPr>
            </w:pPr>
            <w:r w:rsidRPr="001058CC">
              <w:rPr>
                <w:b/>
                <w:bCs/>
              </w:rPr>
              <w:t>Oslo,</w:t>
            </w:r>
            <w:r w:rsidR="0028018E" w:rsidRPr="001058CC">
              <w:rPr>
                <w:b/>
                <w:bCs/>
              </w:rPr>
              <w:t xml:space="preserve"> </w:t>
            </w:r>
            <w:r w:rsidR="00D0208D">
              <w:rPr>
                <w:b/>
                <w:bCs/>
              </w:rPr>
              <w:t xml:space="preserve"> </w:t>
            </w:r>
            <w:r w:rsidR="009E7FC8">
              <w:rPr>
                <w:b/>
                <w:bCs/>
              </w:rPr>
              <w:fldChar w:fldCharType="begin"/>
            </w:r>
            <w:r w:rsidR="00296B3E">
              <w:rPr>
                <w:b/>
                <w:bCs/>
              </w:rPr>
              <w:instrText xml:space="preserve"> TIME \@ "dddd, d. MMMM yyyy" </w:instrText>
            </w:r>
            <w:r w:rsidR="009E7FC8">
              <w:rPr>
                <w:b/>
                <w:bCs/>
              </w:rPr>
              <w:fldChar w:fldCharType="separate"/>
            </w:r>
            <w:r w:rsidR="00400AEC">
              <w:rPr>
                <w:b/>
                <w:bCs/>
                <w:noProof/>
              </w:rPr>
              <w:t>fredag, 9. desember 2011</w:t>
            </w:r>
            <w:r w:rsidR="009E7FC8">
              <w:rPr>
                <w:b/>
                <w:bCs/>
              </w:rPr>
              <w:fldChar w:fldCharType="end"/>
            </w:r>
          </w:p>
          <w:p w:rsidR="00407939" w:rsidRPr="001058CC" w:rsidRDefault="00407939" w:rsidP="00404FCD">
            <w:pPr>
              <w:tabs>
                <w:tab w:val="left" w:pos="7380"/>
              </w:tabs>
              <w:spacing w:line="0" w:lineRule="atLeast"/>
            </w:pPr>
            <w:r w:rsidRPr="001058CC">
              <w:t>Vår ref.:</w:t>
            </w:r>
            <w:r w:rsidR="004B286C">
              <w:t xml:space="preserve"> </w:t>
            </w:r>
          </w:p>
          <w:p w:rsidR="00407939" w:rsidRPr="001058CC" w:rsidRDefault="00407939" w:rsidP="00404FCD">
            <w:pPr>
              <w:tabs>
                <w:tab w:val="left" w:pos="7920"/>
              </w:tabs>
              <w:rPr>
                <w:b/>
                <w:bCs/>
                <w:sz w:val="24"/>
                <w:szCs w:val="24"/>
              </w:rPr>
            </w:pPr>
            <w:r w:rsidRPr="001058CC">
              <w:rPr>
                <w:u w:val="single"/>
              </w:rPr>
              <w:t>Må alltid oppgis.</w:t>
            </w:r>
          </w:p>
        </w:tc>
      </w:tr>
    </w:tbl>
    <w:p w:rsidR="001058CC" w:rsidRDefault="001058CC" w:rsidP="001058CC">
      <w:pPr>
        <w:rPr>
          <w:b/>
          <w:sz w:val="24"/>
          <w:szCs w:val="24"/>
        </w:rPr>
      </w:pPr>
    </w:p>
    <w:p w:rsidR="00F91BE2" w:rsidRDefault="00F91BE2" w:rsidP="0068519B">
      <w:pPr>
        <w:rPr>
          <w:sz w:val="24"/>
          <w:szCs w:val="24"/>
        </w:rPr>
      </w:pPr>
    </w:p>
    <w:p w:rsidR="00CC6FB0" w:rsidRDefault="00CC6FB0" w:rsidP="0068519B">
      <w:pPr>
        <w:rPr>
          <w:sz w:val="24"/>
          <w:szCs w:val="24"/>
        </w:rPr>
      </w:pPr>
    </w:p>
    <w:p w:rsidR="0043739E" w:rsidRPr="0043739E" w:rsidRDefault="0043739E" w:rsidP="0043739E">
      <w:pPr>
        <w:spacing w:line="276" w:lineRule="auto"/>
        <w:outlineLvl w:val="0"/>
        <w:rPr>
          <w:rFonts w:asciiTheme="majorHAnsi" w:eastAsia="Calibri" w:hAnsiTheme="majorHAnsi"/>
          <w:b/>
          <w:sz w:val="22"/>
          <w:szCs w:val="22"/>
          <w:lang w:eastAsia="en-US"/>
        </w:rPr>
      </w:pPr>
      <w:r w:rsidRPr="0043739E">
        <w:rPr>
          <w:rFonts w:asciiTheme="majorHAnsi" w:eastAsia="Calibri" w:hAnsiTheme="majorHAnsi"/>
          <w:b/>
          <w:sz w:val="22"/>
          <w:szCs w:val="22"/>
          <w:lang w:eastAsia="en-US"/>
        </w:rPr>
        <w:t>Høringsuttalelse: Høring om EMD-reformen</w:t>
      </w:r>
    </w:p>
    <w:p w:rsidR="0043739E" w:rsidRPr="0043739E" w:rsidRDefault="0043739E" w:rsidP="0043739E">
      <w:pPr>
        <w:spacing w:line="276" w:lineRule="auto"/>
        <w:outlineLvl w:val="0"/>
        <w:rPr>
          <w:rFonts w:asciiTheme="minorHAnsi" w:eastAsia="Calibri" w:hAnsiTheme="minorHAnsi" w:cstheme="minorHAnsi"/>
          <w:i/>
          <w:sz w:val="22"/>
          <w:szCs w:val="22"/>
          <w:lang w:eastAsia="en-US"/>
        </w:rPr>
      </w:pPr>
    </w:p>
    <w:p w:rsidR="0043739E" w:rsidRPr="0043739E" w:rsidRDefault="0043739E" w:rsidP="0043739E">
      <w:pPr>
        <w:spacing w:line="276" w:lineRule="auto"/>
        <w:outlineLvl w:val="0"/>
        <w:rPr>
          <w:rFonts w:asciiTheme="minorHAnsi" w:eastAsia="Calibri" w:hAnsiTheme="minorHAnsi" w:cstheme="minorHAnsi"/>
          <w:i/>
          <w:sz w:val="22"/>
          <w:szCs w:val="22"/>
          <w:lang w:eastAsia="en-US"/>
        </w:rPr>
      </w:pPr>
      <w:r w:rsidRPr="0043739E">
        <w:rPr>
          <w:rFonts w:asciiTheme="minorHAnsi" w:eastAsia="Calibri" w:hAnsiTheme="minorHAnsi" w:cstheme="minorHAnsi"/>
          <w:i/>
          <w:sz w:val="22"/>
          <w:szCs w:val="22"/>
          <w:lang w:eastAsia="en-US"/>
        </w:rPr>
        <w:t>Deres ref: 201107293 EO AUS/mk</w:t>
      </w:r>
    </w:p>
    <w:p w:rsidR="0043739E" w:rsidRPr="0043739E" w:rsidRDefault="0043739E" w:rsidP="0043739E">
      <w:pPr>
        <w:spacing w:line="276" w:lineRule="auto"/>
        <w:outlineLvl w:val="0"/>
        <w:rPr>
          <w:rFonts w:ascii="Calibri" w:eastAsia="Calibri" w:hAnsi="Calibri"/>
          <w:b/>
          <w:sz w:val="22"/>
          <w:szCs w:val="22"/>
          <w:lang w:eastAsia="en-US"/>
        </w:rPr>
      </w:pPr>
    </w:p>
    <w:p w:rsidR="0043739E" w:rsidRPr="0043739E" w:rsidRDefault="0043739E" w:rsidP="0043739E">
      <w:pPr>
        <w:spacing w:line="276" w:lineRule="auto"/>
        <w:outlineLvl w:val="0"/>
        <w:rPr>
          <w:rFonts w:ascii="Calibri" w:eastAsia="Calibri" w:hAnsi="Calibri"/>
          <w:b/>
          <w:sz w:val="22"/>
          <w:szCs w:val="22"/>
          <w:lang w:eastAsia="en-US"/>
        </w:rPr>
      </w:pPr>
      <w:r w:rsidRPr="0043739E">
        <w:rPr>
          <w:rFonts w:ascii="Calibri" w:eastAsia="Calibri" w:hAnsi="Calibri"/>
          <w:b/>
          <w:sz w:val="22"/>
          <w:szCs w:val="22"/>
          <w:lang w:eastAsia="en-US"/>
        </w:rPr>
        <w:t>Innledning</w:t>
      </w:r>
    </w:p>
    <w:p w:rsidR="0043739E" w:rsidRPr="0043739E" w:rsidRDefault="0043739E" w:rsidP="0043739E">
      <w:pPr>
        <w:spacing w:after="200" w:line="276" w:lineRule="auto"/>
        <w:outlineLvl w:val="0"/>
        <w:rPr>
          <w:rFonts w:ascii="Calibri" w:eastAsia="Calibri" w:hAnsi="Calibri"/>
          <w:sz w:val="22"/>
          <w:szCs w:val="22"/>
          <w:lang w:eastAsia="en-US"/>
        </w:rPr>
      </w:pPr>
      <w:r w:rsidRPr="0043739E">
        <w:rPr>
          <w:rFonts w:ascii="Calibri" w:eastAsia="Calibri" w:hAnsi="Calibri"/>
          <w:sz w:val="22"/>
          <w:szCs w:val="22"/>
          <w:lang w:eastAsia="en-US"/>
        </w:rPr>
        <w:t>Juss-Buss er et studentrettshjelpstiltak ved Universitetet i Oslo. Vi gir bistand i enkeltsaker, arbeider rettspolitisk, samt driver med forskning og utdanning. Årlig behandler vi over fem tusen henvendelser fra enkeltpersoner som ønsker bistand fra oss. Et betydelig del av sakene er knyttet til menneskerettigheter,  eksempelvis innenfor utlendingsrett og fengselsrett. I tillegg til enkeltsaksbehandlingen, arbeider vi også med menneskerettigheter på strukturelt nivå, eksempelvis gjennom å delta i rapporteringsprosesser til internasjonale og nasjonale organer.</w:t>
      </w:r>
    </w:p>
    <w:p w:rsidR="0043739E" w:rsidRPr="0043739E" w:rsidRDefault="0043739E" w:rsidP="0043739E">
      <w:pPr>
        <w:spacing w:line="276" w:lineRule="auto"/>
        <w:outlineLvl w:val="0"/>
        <w:rPr>
          <w:rFonts w:ascii="Calibri" w:eastAsia="Calibri" w:hAnsi="Calibri"/>
          <w:b/>
          <w:sz w:val="22"/>
          <w:szCs w:val="22"/>
          <w:lang w:eastAsia="en-US"/>
        </w:rPr>
      </w:pPr>
      <w:r w:rsidRPr="0043739E">
        <w:rPr>
          <w:rFonts w:ascii="Calibri" w:eastAsia="Calibri" w:hAnsi="Calibri"/>
          <w:b/>
          <w:sz w:val="22"/>
          <w:szCs w:val="22"/>
          <w:lang w:eastAsia="en-US"/>
        </w:rPr>
        <w:t>Generelle kommentarer</w:t>
      </w:r>
    </w:p>
    <w:p w:rsidR="0043739E" w:rsidRPr="0043739E" w:rsidRDefault="0043739E" w:rsidP="0043739E">
      <w:pPr>
        <w:spacing w:after="200" w:line="276" w:lineRule="auto"/>
        <w:outlineLvl w:val="0"/>
        <w:rPr>
          <w:rFonts w:ascii="Calibri" w:eastAsia="Calibri" w:hAnsi="Calibri"/>
          <w:sz w:val="22"/>
          <w:szCs w:val="22"/>
          <w:lang w:eastAsia="en-US"/>
        </w:rPr>
      </w:pPr>
      <w:r w:rsidRPr="0043739E">
        <w:rPr>
          <w:rFonts w:ascii="Calibri" w:eastAsia="Calibri" w:hAnsi="Calibri"/>
          <w:sz w:val="22"/>
          <w:szCs w:val="22"/>
          <w:lang w:eastAsia="en-US"/>
        </w:rPr>
        <w:t>Juss-Buss er positive til regjeringens arbeid med å følge opp Interlaken-prosessen, blant annet ved å ”gjennomføre nasjonale tiltak for å bedre gjennomføringen av EMK og redusere sakstilfanget til EMD”. Vi vil imidlertid understreke at å bedre gjennomføri</w:t>
      </w:r>
      <w:r w:rsidR="00961D35">
        <w:rPr>
          <w:rFonts w:ascii="Calibri" w:eastAsia="Calibri" w:hAnsi="Calibri"/>
          <w:sz w:val="22"/>
          <w:szCs w:val="22"/>
          <w:lang w:eastAsia="en-US"/>
        </w:rPr>
        <w:t>ng</w:t>
      </w:r>
      <w:r w:rsidR="00293AC1" w:rsidRPr="00293AC1">
        <w:rPr>
          <w:rFonts w:ascii="Calibri" w:eastAsia="Calibri" w:hAnsi="Calibri"/>
          <w:sz w:val="22"/>
          <w:szCs w:val="22"/>
          <w:lang w:eastAsia="en-US"/>
        </w:rPr>
        <w:t>en</w:t>
      </w:r>
      <w:r w:rsidR="00961D35">
        <w:rPr>
          <w:rFonts w:ascii="Calibri" w:eastAsia="Calibri" w:hAnsi="Calibri"/>
          <w:sz w:val="22"/>
          <w:szCs w:val="22"/>
          <w:lang w:eastAsia="en-US"/>
        </w:rPr>
        <w:t xml:space="preserve"> av EMK er viktig i seg selv, og at man i denne prosessen ikke utelukkende kan fokusere på tiltak som på kort sikt vil redusere sakstilfanget. </w:t>
      </w:r>
    </w:p>
    <w:p w:rsidR="0043739E" w:rsidRPr="0043739E" w:rsidRDefault="0043739E" w:rsidP="0043739E">
      <w:pPr>
        <w:spacing w:line="276" w:lineRule="auto"/>
        <w:outlineLvl w:val="0"/>
        <w:rPr>
          <w:rFonts w:ascii="Calibri" w:eastAsia="Calibri" w:hAnsi="Calibri"/>
          <w:b/>
          <w:sz w:val="22"/>
          <w:szCs w:val="22"/>
          <w:lang w:eastAsia="en-US"/>
        </w:rPr>
      </w:pPr>
      <w:r w:rsidRPr="0043739E">
        <w:rPr>
          <w:rFonts w:ascii="Calibri" w:eastAsia="Calibri" w:hAnsi="Calibri"/>
          <w:b/>
          <w:sz w:val="22"/>
          <w:szCs w:val="22"/>
          <w:lang w:eastAsia="en-US"/>
        </w:rPr>
        <w:t>Til høringens punkt 1:</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Til tross for økt fokus på menneskerettighetene, blant annet gjennom krav til undervisning, opplever Juss-Buss at offentlige organer i liten grad ser hen til konvensjonens rettigheter i sitt daglige virke. Dette kan blant annet skyldes at menneskerettighetene oppfattes av forvaltningsansatte som et litt uklart rettsgrunnlag som er vanskelig å forholde seg til i praksis. En utstrakt bruk av ufaglærte vikarer, eksempelvis i kriminalomsorgen, gjør det også tilfeldig hvordan man i de daglige avgjørelsene forholder seg til konvensjonens krav.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Juss-Buss arbeider med en rekke saksfelter hvor menneskerettighetskrenkelser forekommer, eksempelvis innenfor utlendingsrett og fengselsrett. Vi ser som generelle trekk at det er svak kunnskap om menneskerettigheter i forvaltningen, både i sentralforvaltningen og i lokale forvaltningsorganer. Det er ikke tilstrekkelig å ta inn menneskerettigheter i utdannelsen av studenter innen politi, kriminalomsorg og helse- og sosialfag. Kunnskap om menneskerettigheter må i tillegg gis som etterutd</w:t>
      </w:r>
      <w:r w:rsidR="00927190">
        <w:rPr>
          <w:rFonts w:ascii="Calibri" w:eastAsia="Calibri" w:hAnsi="Calibri"/>
          <w:sz w:val="22"/>
          <w:szCs w:val="22"/>
          <w:lang w:eastAsia="en-US"/>
        </w:rPr>
        <w:t>a</w:t>
      </w:r>
      <w:r w:rsidRPr="0043739E">
        <w:rPr>
          <w:rFonts w:ascii="Calibri" w:eastAsia="Calibri" w:hAnsi="Calibri"/>
          <w:sz w:val="22"/>
          <w:szCs w:val="22"/>
          <w:lang w:eastAsia="en-US"/>
        </w:rPr>
        <w:t xml:space="preserve">nning for forvaltningsansatte. </w:t>
      </w:r>
    </w:p>
    <w:p w:rsidR="0043739E" w:rsidRPr="0043739E" w:rsidRDefault="0043739E" w:rsidP="0043739E">
      <w:pPr>
        <w:spacing w:after="200" w:line="276" w:lineRule="auto"/>
        <w:outlineLvl w:val="0"/>
        <w:rPr>
          <w:rFonts w:ascii="Calibri" w:eastAsia="Calibri" w:hAnsi="Calibri"/>
          <w:sz w:val="22"/>
          <w:szCs w:val="22"/>
          <w:lang w:eastAsia="en-US"/>
        </w:rPr>
      </w:pPr>
      <w:r w:rsidRPr="0043739E">
        <w:rPr>
          <w:rFonts w:ascii="Calibri" w:eastAsia="Calibri" w:hAnsi="Calibri"/>
          <w:sz w:val="22"/>
          <w:szCs w:val="22"/>
          <w:lang w:eastAsia="en-US"/>
        </w:rPr>
        <w:t xml:space="preserve">Selv om det er viktig å videreutvikle og styrke kunnskapen om menneskerettighetene i de offentlige organene mener Juss-Buss at også den enkelte borgers kunnskap om konvensjonens rettigheter må styrkes, særlig med tanke på at EMK knytter seg til grunnleggende rettigheter for individet. Manglende kunnskap om rettigheter gjør at man er uviten om eventuelle brudd på disse, og det er gjerne svakere samfunnsgrupper som innehar minst kunnskap på området. Dette kommer vi tilbake til under </w:t>
      </w:r>
      <w:r w:rsidR="00632712">
        <w:rPr>
          <w:rFonts w:ascii="Calibri" w:eastAsia="Calibri" w:hAnsi="Calibri"/>
          <w:sz w:val="22"/>
          <w:szCs w:val="22"/>
          <w:lang w:eastAsia="en-US"/>
        </w:rPr>
        <w:t xml:space="preserve">kommentarene til høringens </w:t>
      </w:r>
      <w:r w:rsidRPr="0043739E">
        <w:rPr>
          <w:rFonts w:ascii="Calibri" w:eastAsia="Calibri" w:hAnsi="Calibri"/>
          <w:sz w:val="22"/>
          <w:szCs w:val="22"/>
          <w:lang w:eastAsia="en-US"/>
        </w:rPr>
        <w:t xml:space="preserve">punkt </w:t>
      </w:r>
      <w:r w:rsidR="00632712">
        <w:rPr>
          <w:rFonts w:ascii="Calibri" w:eastAsia="Calibri" w:hAnsi="Calibri"/>
          <w:sz w:val="22"/>
          <w:szCs w:val="22"/>
          <w:lang w:eastAsia="en-US"/>
        </w:rPr>
        <w:t>4 og 7</w:t>
      </w:r>
      <w:r w:rsidRPr="0043739E">
        <w:rPr>
          <w:rFonts w:ascii="Calibri" w:eastAsia="Calibri" w:hAnsi="Calibri"/>
          <w:sz w:val="22"/>
          <w:szCs w:val="22"/>
          <w:lang w:eastAsia="en-US"/>
        </w:rPr>
        <w:t xml:space="preserve">.  Gjennom oppsøkende rettshjelpstiltak vil man enklere kunne nå denne gruppen og i større grad sørge for en </w:t>
      </w:r>
      <w:r w:rsidRPr="0043739E">
        <w:rPr>
          <w:rFonts w:ascii="Calibri" w:eastAsia="Calibri" w:hAnsi="Calibri"/>
          <w:sz w:val="22"/>
          <w:szCs w:val="22"/>
          <w:lang w:eastAsia="en-US"/>
        </w:rPr>
        <w:lastRenderedPageBreak/>
        <w:t xml:space="preserve">effektiv gjennomføring av konvensjonen for alle lag i befolkningen. Dette kommer vi tilbake til under </w:t>
      </w:r>
      <w:r w:rsidR="00632712">
        <w:rPr>
          <w:rFonts w:ascii="Calibri" w:eastAsia="Calibri" w:hAnsi="Calibri"/>
          <w:sz w:val="22"/>
          <w:szCs w:val="22"/>
          <w:lang w:eastAsia="en-US"/>
        </w:rPr>
        <w:t xml:space="preserve">kommentarene til </w:t>
      </w:r>
      <w:r w:rsidRPr="0043739E">
        <w:rPr>
          <w:rFonts w:ascii="Calibri" w:eastAsia="Calibri" w:hAnsi="Calibri"/>
          <w:sz w:val="22"/>
          <w:szCs w:val="22"/>
          <w:lang w:eastAsia="en-US"/>
        </w:rPr>
        <w:t xml:space="preserve">punkt </w:t>
      </w:r>
      <w:r w:rsidR="00632712">
        <w:rPr>
          <w:rFonts w:ascii="Calibri" w:eastAsia="Calibri" w:hAnsi="Calibri"/>
          <w:sz w:val="22"/>
          <w:szCs w:val="22"/>
          <w:lang w:eastAsia="en-US"/>
        </w:rPr>
        <w:t>4</w:t>
      </w:r>
      <w:r w:rsidRPr="0043739E">
        <w:rPr>
          <w:rFonts w:ascii="Calibri" w:eastAsia="Calibri" w:hAnsi="Calibri"/>
          <w:sz w:val="22"/>
          <w:szCs w:val="22"/>
          <w:lang w:eastAsia="en-US"/>
        </w:rPr>
        <w:t>.</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Juss-Buss vil også fremheve det problematiske i at situasjonen rundt Najsonal Institusjon (NI) er uavklart. Fremdeles ser det ut til at NI blir nedgradert til B-status, </w:t>
      </w:r>
      <w:r w:rsidR="00293AC1">
        <w:rPr>
          <w:rFonts w:ascii="Calibri" w:eastAsia="Calibri" w:hAnsi="Calibri"/>
          <w:sz w:val="22"/>
          <w:szCs w:val="22"/>
          <w:lang w:eastAsia="en-US"/>
        </w:rPr>
        <w:t>med mindre</w:t>
      </w:r>
      <w:r w:rsidR="00293AC1" w:rsidRPr="0043739E">
        <w:rPr>
          <w:rFonts w:ascii="Calibri" w:eastAsia="Calibri" w:hAnsi="Calibri"/>
          <w:sz w:val="22"/>
          <w:szCs w:val="22"/>
          <w:lang w:eastAsia="en-US"/>
        </w:rPr>
        <w:t xml:space="preserve"> </w:t>
      </w:r>
      <w:r w:rsidRPr="0043739E">
        <w:rPr>
          <w:rFonts w:ascii="Calibri" w:eastAsia="Calibri" w:hAnsi="Calibri"/>
          <w:sz w:val="22"/>
          <w:szCs w:val="22"/>
          <w:lang w:eastAsia="en-US"/>
        </w:rPr>
        <w:t>myndighetene tar grep om situasjonen. En velfungerende NIHR er etter vår mening viktig for å sikre effektiv etterlevelse av menneskerettighetsforpliktelsene. Det er oppsiktvekkende og svært uheldig at Norge ikke makter å opprettholde en NIHR som tilfredsstiller de internasjonale kravene. Myndighetene bør umiddelbart sørge for å sette i gang tiltak for å avhjelpe dette.</w:t>
      </w:r>
    </w:p>
    <w:p w:rsidR="0043739E" w:rsidRPr="0043739E" w:rsidRDefault="0043739E" w:rsidP="0043739E">
      <w:pPr>
        <w:spacing w:line="276" w:lineRule="auto"/>
        <w:outlineLvl w:val="0"/>
        <w:rPr>
          <w:rFonts w:ascii="Calibri" w:eastAsia="Calibri" w:hAnsi="Calibri"/>
          <w:b/>
          <w:sz w:val="22"/>
          <w:szCs w:val="22"/>
          <w:lang w:eastAsia="en-US"/>
        </w:rPr>
      </w:pPr>
      <w:r w:rsidRPr="0043739E">
        <w:rPr>
          <w:rFonts w:ascii="Calibri" w:eastAsia="Calibri" w:hAnsi="Calibri"/>
          <w:b/>
          <w:sz w:val="22"/>
          <w:szCs w:val="22"/>
          <w:lang w:eastAsia="en-US"/>
        </w:rPr>
        <w:t>Til høringens punkt 2</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Juss-Buss er svært positive til den angitte planen om å utarbeide rutiner for oppfølging av dommer mot Norge. Etter vår mening har oppfølgingen av dommer mot Norge, eksempelvis innen utlendingsretten, vært for dårlig. I den forbindelse vil vi særlig fremheve betydningen av at en oppfølgingsrutine fokuserer på </w:t>
      </w:r>
      <w:r w:rsidRPr="0043739E">
        <w:rPr>
          <w:rFonts w:ascii="Calibri" w:eastAsia="Calibri" w:hAnsi="Calibri"/>
          <w:i/>
          <w:sz w:val="22"/>
          <w:szCs w:val="22"/>
          <w:lang w:eastAsia="en-US"/>
        </w:rPr>
        <w:t xml:space="preserve">praksis </w:t>
      </w:r>
      <w:r w:rsidRPr="0043739E">
        <w:rPr>
          <w:rFonts w:ascii="Calibri" w:eastAsia="Calibri" w:hAnsi="Calibri"/>
          <w:sz w:val="22"/>
          <w:szCs w:val="22"/>
          <w:lang w:eastAsia="en-US"/>
        </w:rPr>
        <w:t xml:space="preserve">i forvaltningen, og ikke kun den lovtekniske siden av spørsmålene. I mange tilfeller </w:t>
      </w:r>
      <w:r w:rsidR="00293AC1">
        <w:rPr>
          <w:rFonts w:ascii="Calibri" w:eastAsia="Calibri" w:hAnsi="Calibri"/>
          <w:sz w:val="22"/>
          <w:szCs w:val="22"/>
          <w:lang w:eastAsia="en-US"/>
        </w:rPr>
        <w:t xml:space="preserve"> er det ikke</w:t>
      </w:r>
      <w:r w:rsidRPr="0043739E">
        <w:rPr>
          <w:rFonts w:ascii="Calibri" w:eastAsia="Calibri" w:hAnsi="Calibri"/>
          <w:sz w:val="22"/>
          <w:szCs w:val="22"/>
          <w:lang w:eastAsia="en-US"/>
        </w:rPr>
        <w:t xml:space="preserve"> reglene i seg selv, men forvaltningens praksis som står i et problematisk forhold til </w:t>
      </w:r>
      <w:r w:rsidR="00293AC1">
        <w:rPr>
          <w:rFonts w:ascii="Calibri" w:eastAsia="Calibri" w:hAnsi="Calibri"/>
          <w:sz w:val="22"/>
          <w:szCs w:val="22"/>
          <w:lang w:eastAsia="en-US"/>
        </w:rPr>
        <w:t xml:space="preserve">Norges </w:t>
      </w:r>
      <w:r w:rsidRPr="0043739E">
        <w:rPr>
          <w:rFonts w:ascii="Calibri" w:eastAsia="Calibri" w:hAnsi="Calibri"/>
          <w:sz w:val="22"/>
          <w:szCs w:val="22"/>
          <w:lang w:eastAsia="en-US"/>
        </w:rPr>
        <w:t>menneskerettighetsforpliktelse</w:t>
      </w:r>
      <w:r w:rsidR="00293AC1">
        <w:rPr>
          <w:rFonts w:ascii="Calibri" w:eastAsia="Calibri" w:hAnsi="Calibri"/>
          <w:sz w:val="22"/>
          <w:szCs w:val="22"/>
          <w:lang w:eastAsia="en-US"/>
        </w:rPr>
        <w:t xml:space="preserve">r </w:t>
      </w:r>
      <w:r w:rsidRPr="0043739E">
        <w:rPr>
          <w:rFonts w:ascii="Calibri" w:eastAsia="Calibri" w:hAnsi="Calibri"/>
          <w:sz w:val="22"/>
          <w:szCs w:val="22"/>
          <w:lang w:eastAsia="en-US"/>
        </w:rPr>
        <w:t>. Oppfølgende myndighet må derfor sikre at de har god kjennskap til praksis og hvordan denne faktisk fungerer.</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 Det må </w:t>
      </w:r>
      <w:r w:rsidR="00293AC1">
        <w:rPr>
          <w:rFonts w:ascii="Calibri" w:eastAsia="Calibri" w:hAnsi="Calibri"/>
          <w:sz w:val="22"/>
          <w:szCs w:val="22"/>
          <w:lang w:eastAsia="en-US"/>
        </w:rPr>
        <w:t xml:space="preserve">videre </w:t>
      </w:r>
      <w:r w:rsidRPr="0043739E">
        <w:rPr>
          <w:rFonts w:ascii="Calibri" w:eastAsia="Calibri" w:hAnsi="Calibri"/>
          <w:sz w:val="22"/>
          <w:szCs w:val="22"/>
          <w:lang w:eastAsia="en-US"/>
        </w:rPr>
        <w:t>sikres at oppfølgingsprosessen er åpen. Sivilsamfunnet må få innsyn i prosessene, og mulighet til å komme med innspill.</w:t>
      </w:r>
    </w:p>
    <w:p w:rsidR="0043739E" w:rsidRPr="0043739E" w:rsidRDefault="0043739E" w:rsidP="0043739E">
      <w:pPr>
        <w:spacing w:line="276" w:lineRule="auto"/>
        <w:outlineLvl w:val="0"/>
        <w:rPr>
          <w:rFonts w:ascii="Calibri" w:eastAsia="Calibri" w:hAnsi="Calibri"/>
          <w:b/>
          <w:sz w:val="22"/>
          <w:szCs w:val="22"/>
          <w:lang w:eastAsia="en-US"/>
        </w:rPr>
      </w:pPr>
      <w:r w:rsidRPr="0043739E">
        <w:rPr>
          <w:rFonts w:ascii="Calibri" w:eastAsia="Calibri" w:hAnsi="Calibri"/>
          <w:b/>
          <w:sz w:val="22"/>
          <w:szCs w:val="22"/>
          <w:lang w:eastAsia="en-US"/>
        </w:rPr>
        <w:t>Til høringens punkt 3</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Etter vår mening </w:t>
      </w:r>
      <w:r w:rsidR="00293AC1">
        <w:rPr>
          <w:rFonts w:ascii="Calibri" w:eastAsia="Calibri" w:hAnsi="Calibri"/>
          <w:sz w:val="22"/>
          <w:szCs w:val="22"/>
          <w:lang w:eastAsia="en-US"/>
        </w:rPr>
        <w:t xml:space="preserve">er </w:t>
      </w:r>
      <w:r w:rsidRPr="0043739E">
        <w:rPr>
          <w:rFonts w:ascii="Calibri" w:eastAsia="Calibri" w:hAnsi="Calibri"/>
          <w:sz w:val="22"/>
          <w:szCs w:val="22"/>
          <w:lang w:eastAsia="en-US"/>
        </w:rPr>
        <w:t xml:space="preserve"> arbeidet med oppfølging av rettspraksis fra EMD ikke god nok. Vi ser at kunnskapen, både om utviklingen i rettspraksis og om de faktiske forholdene i samfunnet, er svak i en rekke av myndighetsorganene. Dette er dessverre tilfelle både blant sentralmyndighetene og blant de mer </w:t>
      </w:r>
      <w:r w:rsidR="009F5CE8">
        <w:rPr>
          <w:rFonts w:ascii="Calibri" w:eastAsia="Calibri" w:hAnsi="Calibri"/>
          <w:sz w:val="22"/>
          <w:szCs w:val="22"/>
          <w:lang w:eastAsia="en-US"/>
        </w:rPr>
        <w:t>underliggende</w:t>
      </w:r>
      <w:r w:rsidR="009F5CE8" w:rsidRPr="0043739E">
        <w:rPr>
          <w:rFonts w:ascii="Calibri" w:eastAsia="Calibri" w:hAnsi="Calibri"/>
          <w:sz w:val="22"/>
          <w:szCs w:val="22"/>
          <w:lang w:eastAsia="en-US"/>
        </w:rPr>
        <w:t xml:space="preserve"> </w:t>
      </w:r>
      <w:r w:rsidRPr="0043739E">
        <w:rPr>
          <w:rFonts w:ascii="Calibri" w:eastAsia="Calibri" w:hAnsi="Calibri"/>
          <w:sz w:val="22"/>
          <w:szCs w:val="22"/>
          <w:lang w:eastAsia="en-US"/>
        </w:rPr>
        <w:t>myndighet</w:t>
      </w:r>
      <w:r w:rsidR="009F5CE8">
        <w:rPr>
          <w:rFonts w:ascii="Calibri" w:eastAsia="Calibri" w:hAnsi="Calibri"/>
          <w:sz w:val="22"/>
          <w:szCs w:val="22"/>
          <w:lang w:eastAsia="en-US"/>
        </w:rPr>
        <w:t>sorganer</w:t>
      </w:r>
      <w:r w:rsidRPr="0043739E">
        <w:rPr>
          <w:rFonts w:ascii="Calibri" w:eastAsia="Calibri" w:hAnsi="Calibri"/>
          <w:sz w:val="22"/>
          <w:szCs w:val="22"/>
          <w:lang w:eastAsia="en-US"/>
        </w:rPr>
        <w:t xml:space="preserve">. Her ser vi også store forskjeller mellom ulike forvaltningsorganer, eksempelvis i forskjellige fengsler.  Erfaringene fra Advokatforeningens prosedyregruppe viser en rekke konkrete eksempler på  at oppfølgingen i forvaltningen av </w:t>
      </w:r>
      <w:r w:rsidR="009F5CE8">
        <w:rPr>
          <w:rFonts w:ascii="Calibri" w:eastAsia="Calibri" w:hAnsi="Calibri"/>
          <w:sz w:val="22"/>
          <w:szCs w:val="22"/>
          <w:lang w:eastAsia="en-US"/>
        </w:rPr>
        <w:t>menneskerettighets</w:t>
      </w:r>
      <w:r w:rsidRPr="0043739E">
        <w:rPr>
          <w:rFonts w:ascii="Calibri" w:eastAsia="Calibri" w:hAnsi="Calibri"/>
          <w:sz w:val="22"/>
          <w:szCs w:val="22"/>
          <w:lang w:eastAsia="en-US"/>
        </w:rPr>
        <w:t>forpliktelser ikke fungerer.</w:t>
      </w:r>
      <w:r w:rsidRPr="0043739E">
        <w:rPr>
          <w:rFonts w:ascii="Calibri" w:eastAsia="Calibri" w:hAnsi="Calibri"/>
          <w:sz w:val="22"/>
          <w:szCs w:val="22"/>
          <w:vertAlign w:val="superscript"/>
          <w:lang w:eastAsia="en-US"/>
        </w:rPr>
        <w:footnoteReference w:id="1"/>
      </w:r>
      <w:r w:rsidRPr="0043739E">
        <w:rPr>
          <w:rFonts w:ascii="Calibri" w:eastAsia="Calibri" w:hAnsi="Calibri"/>
          <w:sz w:val="22"/>
          <w:szCs w:val="22"/>
          <w:lang w:eastAsia="en-US"/>
        </w:rPr>
        <w:t xml:space="preserve"> Justisdepartementets oppfølging er ikke omfattende nok til å sikre fullgod oppfyllelse av MR-forpliktelsene.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Oppfølging av MR-forpliktelsene må skje mer planmessig.  Ansvaret for oppfølgingne må legges til en bestemt seksjon, som må ha tilstrekkelig kapasitet og kompetanse til å følge opp praksis fra EMD løpende. Disse må også ha ansvar for faktisk gjennomføring, og må ta oppgaven med å identifisere problemområder og hente inn ytterligere kunnskap om feltet, eksempelvis gjennom empiriske undersøkelser, for så å </w:t>
      </w:r>
      <w:r w:rsidR="009F5CE8">
        <w:rPr>
          <w:rFonts w:ascii="Calibri" w:eastAsia="Calibri" w:hAnsi="Calibri"/>
          <w:sz w:val="22"/>
          <w:szCs w:val="22"/>
          <w:lang w:eastAsia="en-US"/>
        </w:rPr>
        <w:t xml:space="preserve">planlegge og overvåke </w:t>
      </w:r>
      <w:r w:rsidR="009F5CE8" w:rsidRPr="0043739E">
        <w:rPr>
          <w:rFonts w:ascii="Calibri" w:eastAsia="Calibri" w:hAnsi="Calibri"/>
          <w:sz w:val="22"/>
          <w:szCs w:val="22"/>
          <w:lang w:eastAsia="en-US"/>
        </w:rPr>
        <w:t>implementer</w:t>
      </w:r>
      <w:r w:rsidR="009F5CE8">
        <w:rPr>
          <w:rFonts w:ascii="Calibri" w:eastAsia="Calibri" w:hAnsi="Calibri"/>
          <w:sz w:val="22"/>
          <w:szCs w:val="22"/>
          <w:lang w:eastAsia="en-US"/>
        </w:rPr>
        <w:t>ingen av de nødvendige endringer</w:t>
      </w:r>
      <w:r w:rsidRPr="0043739E">
        <w:rPr>
          <w:rFonts w:ascii="Calibri" w:eastAsia="Calibri" w:hAnsi="Calibri"/>
          <w:sz w:val="22"/>
          <w:szCs w:val="22"/>
          <w:lang w:eastAsia="en-US"/>
        </w:rPr>
        <w:t xml:space="preserve">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 En helhetlig handlingsplan for gjennomføring av Norges menneskerettighetsforpliktelser må vedtas.</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Spesielt når det gjelder oppfølging av utviklingen i praksis fra EMD vil en sterk NIHR være viktig, som nevnt i punkt 1. </w:t>
      </w:r>
    </w:p>
    <w:p w:rsidR="0043739E" w:rsidRPr="0043739E" w:rsidRDefault="0043739E" w:rsidP="002E3077">
      <w:pPr>
        <w:spacing w:after="200" w:line="276" w:lineRule="auto"/>
        <w:outlineLvl w:val="0"/>
        <w:rPr>
          <w:rFonts w:ascii="Calibri" w:eastAsia="Calibri" w:hAnsi="Calibri"/>
          <w:b/>
          <w:sz w:val="22"/>
          <w:szCs w:val="22"/>
          <w:lang w:eastAsia="en-US"/>
        </w:rPr>
      </w:pPr>
      <w:r w:rsidRPr="0043739E">
        <w:rPr>
          <w:rFonts w:ascii="Calibri" w:eastAsia="Calibri" w:hAnsi="Calibri"/>
          <w:b/>
          <w:sz w:val="22"/>
          <w:szCs w:val="22"/>
          <w:lang w:eastAsia="en-US"/>
        </w:rPr>
        <w:t>Til høringens punkt 4</w:t>
      </w:r>
    </w:p>
    <w:p w:rsidR="0043739E" w:rsidRPr="0043739E" w:rsidRDefault="0043739E" w:rsidP="0043739E">
      <w:pPr>
        <w:spacing w:after="200" w:line="276" w:lineRule="auto"/>
        <w:contextualSpacing/>
        <w:rPr>
          <w:rFonts w:asciiTheme="minorHAnsi" w:eastAsiaTheme="minorEastAsia" w:hAnsiTheme="minorHAnsi" w:cstheme="minorBidi"/>
          <w:i/>
          <w:sz w:val="22"/>
          <w:szCs w:val="22"/>
          <w:u w:val="single"/>
        </w:rPr>
      </w:pPr>
      <w:r w:rsidRPr="0043739E">
        <w:rPr>
          <w:rFonts w:asciiTheme="minorHAnsi" w:eastAsiaTheme="minorEastAsia" w:hAnsiTheme="minorHAnsi" w:cstheme="minorBidi"/>
          <w:i/>
          <w:sz w:val="22"/>
          <w:szCs w:val="22"/>
          <w:u w:val="single"/>
        </w:rPr>
        <w:t>Informasjon og veiledning</w:t>
      </w:r>
    </w:p>
    <w:p w:rsidR="0043739E" w:rsidRPr="0043739E" w:rsidRDefault="0043739E" w:rsidP="0043739E">
      <w:pPr>
        <w:spacing w:after="200" w:line="276" w:lineRule="auto"/>
        <w:contextualSpacing/>
        <w:rPr>
          <w:rFonts w:asciiTheme="minorHAnsi" w:eastAsiaTheme="minorEastAsia" w:hAnsiTheme="minorHAnsi" w:cstheme="minorBidi"/>
          <w:sz w:val="22"/>
          <w:szCs w:val="22"/>
        </w:rPr>
      </w:pPr>
      <w:r w:rsidRPr="0043739E">
        <w:rPr>
          <w:rFonts w:asciiTheme="minorHAnsi" w:eastAsiaTheme="minorEastAsia" w:hAnsiTheme="minorHAnsi" w:cstheme="minorBidi"/>
          <w:sz w:val="22"/>
          <w:szCs w:val="22"/>
        </w:rPr>
        <w:lastRenderedPageBreak/>
        <w:t xml:space="preserve">Et viktig element for adgangen til å påberope menneskerettighetsbrudd overfor norske myndigheter, er at de som anser sine rettigheter krenket, kan få den nødvendige hjelp til å få dette vurdert.  I dag er veiledning lagt til offentlige organer, gjennom den forvaltningsrettslige veiledningsplikten. Dette er problematisk fordi Staten alltid vil være motpart i disse sakene. Den som anser sine rettigheter krenket kan nettopp av den grunn ha redusert tillit til de statlige organene. I tillegg opplever vi at forvaltningen ofte ikke har tilstrekkelig kunnskap om menneskerettighetsforpliktelser til å gi fullgod veiledning. I tillegg til at kunnskapen om </w:t>
      </w:r>
      <w:r w:rsidR="009F5CE8" w:rsidRPr="0043739E">
        <w:rPr>
          <w:rFonts w:asciiTheme="minorHAnsi" w:eastAsiaTheme="minorEastAsia" w:hAnsiTheme="minorHAnsi" w:cstheme="minorBidi"/>
          <w:sz w:val="22"/>
          <w:szCs w:val="22"/>
        </w:rPr>
        <w:t>forpliktelser</w:t>
      </w:r>
      <w:r w:rsidR="009F5CE8">
        <w:rPr>
          <w:rFonts w:asciiTheme="minorHAnsi" w:eastAsiaTheme="minorEastAsia" w:hAnsiTheme="minorHAnsi" w:cstheme="minorBidi"/>
          <w:sz w:val="22"/>
          <w:szCs w:val="22"/>
        </w:rPr>
        <w:t xml:space="preserve"> er svak, er det naturligvis også prinsippielle problemer knyttet til blant annet uavhengighet ved veiledning fra det offentlige.</w:t>
      </w:r>
    </w:p>
    <w:p w:rsidR="0043739E" w:rsidRPr="0043739E" w:rsidRDefault="0043739E" w:rsidP="002E3077">
      <w:pPr>
        <w:spacing w:after="200" w:line="276" w:lineRule="auto"/>
        <w:contextualSpacing/>
        <w:rPr>
          <w:rFonts w:asciiTheme="minorHAnsi" w:eastAsiaTheme="minorEastAsia" w:hAnsiTheme="minorHAnsi" w:cstheme="minorBidi"/>
          <w:sz w:val="22"/>
          <w:szCs w:val="22"/>
        </w:rPr>
      </w:pPr>
      <w:bookmarkStart w:id="0" w:name="_GoBack"/>
      <w:bookmarkEnd w:id="0"/>
    </w:p>
    <w:p w:rsidR="0043739E" w:rsidRPr="0043739E" w:rsidRDefault="0043739E" w:rsidP="0043739E">
      <w:pPr>
        <w:spacing w:after="200" w:line="276" w:lineRule="auto"/>
        <w:contextualSpacing/>
        <w:rPr>
          <w:rFonts w:asciiTheme="minorHAnsi" w:eastAsiaTheme="minorEastAsia" w:hAnsiTheme="minorHAnsi" w:cstheme="minorBidi"/>
          <w:i/>
          <w:sz w:val="22"/>
          <w:szCs w:val="22"/>
          <w:u w:val="single"/>
        </w:rPr>
      </w:pPr>
      <w:r w:rsidRPr="0043739E">
        <w:rPr>
          <w:rFonts w:asciiTheme="minorHAnsi" w:eastAsiaTheme="minorEastAsia" w:hAnsiTheme="minorHAnsi" w:cstheme="minorBidi"/>
          <w:i/>
          <w:sz w:val="22"/>
          <w:szCs w:val="22"/>
          <w:u w:val="single"/>
        </w:rPr>
        <w:t>Rettshjelp på nasjonalt plan</w:t>
      </w:r>
    </w:p>
    <w:p w:rsidR="0043739E" w:rsidRPr="0043739E" w:rsidRDefault="0043739E" w:rsidP="0043739E">
      <w:pPr>
        <w:spacing w:after="200" w:line="276" w:lineRule="auto"/>
        <w:contextualSpacing/>
        <w:rPr>
          <w:rFonts w:asciiTheme="minorHAnsi" w:eastAsiaTheme="minorEastAsia" w:hAnsiTheme="minorHAnsi" w:cstheme="minorBidi"/>
          <w:sz w:val="22"/>
          <w:szCs w:val="22"/>
        </w:rPr>
      </w:pPr>
      <w:r w:rsidRPr="0043739E">
        <w:rPr>
          <w:rFonts w:asciiTheme="minorHAnsi" w:eastAsiaTheme="minorEastAsia" w:hAnsiTheme="minorHAnsi" w:cstheme="minorBidi"/>
          <w:sz w:val="22"/>
          <w:szCs w:val="22"/>
        </w:rPr>
        <w:t>I NOU 1993; 18 punkt 13.7 påpeker Menneskerettighetslovutvalget at tilgang til nødvendig hjelp vanskelig kan sikres uten en ordning med helt eller delvis fri rettshjelp. Hensynet til rettsikkerhet  må være  overordnet i saker vedrørende brudd på menneskerettigheter.  Tilgangen til fri rettshjelp etter lov om fri rettshjelp er i dag ikke tilfredsstillende i saker om mulig</w:t>
      </w:r>
      <w:r w:rsidR="00642AFB">
        <w:rPr>
          <w:rFonts w:asciiTheme="minorHAnsi" w:eastAsiaTheme="minorEastAsia" w:hAnsiTheme="minorHAnsi" w:cstheme="minorBidi"/>
          <w:sz w:val="22"/>
          <w:szCs w:val="22"/>
        </w:rPr>
        <w:t>e</w:t>
      </w:r>
      <w:r w:rsidRPr="0043739E">
        <w:rPr>
          <w:rFonts w:asciiTheme="minorHAnsi" w:eastAsiaTheme="minorEastAsia" w:hAnsiTheme="minorHAnsi" w:cstheme="minorBidi"/>
          <w:sz w:val="22"/>
          <w:szCs w:val="22"/>
        </w:rPr>
        <w:t xml:space="preserve"> brudd på menneskerettighetene.  De fleste sakstyper hvor menneskerettighetsbrudd forekommer er ikke prioritert i rettshjelpsloven</w:t>
      </w:r>
      <w:r w:rsidRPr="0043739E">
        <w:rPr>
          <w:rFonts w:asciiTheme="minorHAnsi" w:eastAsiaTheme="minorEastAsia" w:hAnsiTheme="minorHAnsi" w:cstheme="minorBidi"/>
          <w:sz w:val="22"/>
          <w:szCs w:val="22"/>
          <w:vertAlign w:val="superscript"/>
        </w:rPr>
        <w:footnoteReference w:id="2"/>
      </w:r>
      <w:r w:rsidRPr="0043739E">
        <w:rPr>
          <w:rFonts w:asciiTheme="minorHAnsi" w:eastAsiaTheme="minorEastAsia" w:hAnsiTheme="minorHAnsi" w:cstheme="minorBidi"/>
          <w:sz w:val="22"/>
          <w:szCs w:val="22"/>
        </w:rPr>
        <w:t>, og rettshjelp vil som hovedregel ikke innvilges i slike saker etter unntaksbestemmelsene i rettshjelpsloven.</w:t>
      </w:r>
      <w:r w:rsidRPr="0043739E">
        <w:rPr>
          <w:rFonts w:asciiTheme="minorHAnsi" w:eastAsiaTheme="minorEastAsia" w:hAnsiTheme="minorHAnsi" w:cstheme="minorBidi"/>
          <w:sz w:val="22"/>
          <w:szCs w:val="22"/>
          <w:vertAlign w:val="superscript"/>
        </w:rPr>
        <w:footnoteReference w:id="3"/>
      </w:r>
      <w:r w:rsidRPr="0043739E">
        <w:rPr>
          <w:rFonts w:asciiTheme="minorHAnsi" w:eastAsiaTheme="minorEastAsia" w:hAnsiTheme="minorHAnsi" w:cstheme="minorBidi"/>
          <w:sz w:val="22"/>
          <w:szCs w:val="22"/>
        </w:rPr>
        <w:t xml:space="preserve">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Juss-Buss mener  at nødvendig informasjon og bistand til de som mener å ha få krenket sine menneskerettigheter burde sikres gjennom å utvide rettshjelpsloven til i større grad </w:t>
      </w:r>
      <w:r w:rsidR="00642AFB">
        <w:rPr>
          <w:rFonts w:ascii="Calibri" w:eastAsia="Calibri" w:hAnsi="Calibri"/>
          <w:sz w:val="22"/>
          <w:szCs w:val="22"/>
          <w:lang w:eastAsia="en-US"/>
        </w:rPr>
        <w:t xml:space="preserve">å </w:t>
      </w:r>
      <w:r w:rsidRPr="0043739E">
        <w:rPr>
          <w:rFonts w:ascii="Calibri" w:eastAsia="Calibri" w:hAnsi="Calibri"/>
          <w:sz w:val="22"/>
          <w:szCs w:val="22"/>
          <w:lang w:eastAsia="en-US"/>
        </w:rPr>
        <w:t xml:space="preserve">omfatte saker om krenkelse av menneskerettigheter. Søknad om rettshjelp i slike tilfeller må avgjøres av organer som er tilstrekkelig faglig kompetente og uavhengige, slik at søknadene får en forsvarlig </w:t>
      </w:r>
      <w:r w:rsidR="009F5CE8" w:rsidRPr="0043739E">
        <w:rPr>
          <w:rFonts w:ascii="Calibri" w:eastAsia="Calibri" w:hAnsi="Calibri"/>
          <w:sz w:val="22"/>
          <w:szCs w:val="22"/>
          <w:lang w:eastAsia="en-US"/>
        </w:rPr>
        <w:t>behandli</w:t>
      </w:r>
      <w:r w:rsidR="009F5CE8">
        <w:rPr>
          <w:rFonts w:ascii="Calibri" w:eastAsia="Calibri" w:hAnsi="Calibri"/>
          <w:sz w:val="22"/>
          <w:szCs w:val="22"/>
          <w:lang w:eastAsia="en-US"/>
        </w:rPr>
        <w:t>ng</w:t>
      </w:r>
      <w:r w:rsidRPr="0043739E">
        <w:rPr>
          <w:rFonts w:ascii="Calibri" w:eastAsia="Calibri" w:hAnsi="Calibri"/>
          <w:sz w:val="22"/>
          <w:szCs w:val="22"/>
          <w:lang w:eastAsia="en-US"/>
        </w:rPr>
        <w:t xml:space="preserve">.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Se for øvrig våre </w:t>
      </w:r>
      <w:r w:rsidR="00927190" w:rsidRPr="0043739E">
        <w:rPr>
          <w:rFonts w:ascii="Calibri" w:eastAsia="Calibri" w:hAnsi="Calibri"/>
          <w:sz w:val="22"/>
          <w:szCs w:val="22"/>
          <w:lang w:eastAsia="en-US"/>
        </w:rPr>
        <w:t>kommentarer</w:t>
      </w:r>
      <w:r w:rsidRPr="0043739E">
        <w:rPr>
          <w:rFonts w:ascii="Calibri" w:eastAsia="Calibri" w:hAnsi="Calibri"/>
          <w:sz w:val="22"/>
          <w:szCs w:val="22"/>
          <w:lang w:eastAsia="en-US"/>
        </w:rPr>
        <w:t xml:space="preserve"> under punkt 7.</w:t>
      </w:r>
    </w:p>
    <w:p w:rsidR="0043739E" w:rsidRPr="0043739E" w:rsidRDefault="0043739E" w:rsidP="0043739E">
      <w:pPr>
        <w:spacing w:line="276" w:lineRule="auto"/>
        <w:contextualSpacing/>
        <w:rPr>
          <w:rFonts w:asciiTheme="minorHAnsi" w:eastAsiaTheme="minorEastAsia" w:hAnsiTheme="minorHAnsi" w:cstheme="minorBidi"/>
          <w:i/>
          <w:sz w:val="22"/>
          <w:szCs w:val="22"/>
          <w:u w:val="single"/>
        </w:rPr>
      </w:pPr>
      <w:r w:rsidRPr="0043739E">
        <w:rPr>
          <w:rFonts w:asciiTheme="minorHAnsi" w:eastAsiaTheme="minorEastAsia" w:hAnsiTheme="minorHAnsi" w:cstheme="minorBidi"/>
          <w:i/>
          <w:sz w:val="22"/>
          <w:szCs w:val="22"/>
          <w:u w:val="single"/>
        </w:rPr>
        <w:t>Tilsynsordninger</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Tilsynsordninger vil være et viktig tiltak for å sikre oppfølging av menneskerettighetsforplikt</w:t>
      </w:r>
      <w:r w:rsidR="00642AFB">
        <w:rPr>
          <w:rFonts w:ascii="Calibri" w:eastAsia="Calibri" w:hAnsi="Calibri"/>
          <w:sz w:val="22"/>
          <w:szCs w:val="22"/>
          <w:lang w:eastAsia="en-US"/>
        </w:rPr>
        <w:t>e</w:t>
      </w:r>
      <w:r w:rsidRPr="0043739E">
        <w:rPr>
          <w:rFonts w:ascii="Calibri" w:eastAsia="Calibri" w:hAnsi="Calibri"/>
          <w:sz w:val="22"/>
          <w:szCs w:val="22"/>
          <w:lang w:eastAsia="en-US"/>
        </w:rPr>
        <w:t>lser og</w:t>
      </w:r>
      <w:r w:rsidR="00642AFB">
        <w:rPr>
          <w:rFonts w:ascii="Calibri" w:eastAsia="Calibri" w:hAnsi="Calibri"/>
          <w:sz w:val="22"/>
          <w:szCs w:val="22"/>
          <w:lang w:eastAsia="en-US"/>
        </w:rPr>
        <w:t xml:space="preserve"> å</w:t>
      </w:r>
      <w:r w:rsidRPr="0043739E">
        <w:rPr>
          <w:rFonts w:ascii="Calibri" w:eastAsia="Calibri" w:hAnsi="Calibri"/>
          <w:sz w:val="22"/>
          <w:szCs w:val="22"/>
          <w:lang w:eastAsia="en-US"/>
        </w:rPr>
        <w:t xml:space="preserve"> unngå krenkelser. Dette gjelder etter Juss-Buss mening spesielt i saker med institusjonaliserte, som fanger. I norske fengsler har man i dag en kontrollordning hvor man i tilknytning til hver region oppnevner et tilsynsråd. Det enkelte tilsynsråd har blant annet som oppgave å føre tilsyn med fengslene i sin region, og med at behandlingen av domfelte og innsatte skjer i samsvar med gjeldende rett. </w:t>
      </w:r>
    </w:p>
    <w:p w:rsidR="0043739E" w:rsidRPr="0043739E" w:rsidRDefault="0043739E" w:rsidP="0043739E">
      <w:pPr>
        <w:spacing w:after="200" w:line="276" w:lineRule="auto"/>
        <w:contextualSpacing/>
        <w:rPr>
          <w:rFonts w:asciiTheme="minorHAnsi" w:eastAsiaTheme="minorEastAsia" w:hAnsiTheme="minorHAnsi" w:cstheme="minorBidi"/>
          <w:sz w:val="22"/>
          <w:szCs w:val="22"/>
        </w:rPr>
      </w:pPr>
      <w:r w:rsidRPr="0043739E">
        <w:rPr>
          <w:rFonts w:asciiTheme="minorHAnsi" w:eastAsiaTheme="minorEastAsia" w:hAnsiTheme="minorHAnsi" w:cstheme="minorBidi"/>
          <w:sz w:val="22"/>
          <w:szCs w:val="22"/>
        </w:rPr>
        <w:t xml:space="preserve">Erfaring viser imidlertid at tilsynsrådene fungerer i varierende grad. Sivilombudsmannen </w:t>
      </w:r>
      <w:r w:rsidR="00642AFB">
        <w:rPr>
          <w:rFonts w:asciiTheme="minorHAnsi" w:eastAsiaTheme="minorEastAsia" w:hAnsiTheme="minorHAnsi" w:cstheme="minorBidi"/>
          <w:sz w:val="22"/>
          <w:szCs w:val="22"/>
        </w:rPr>
        <w:t xml:space="preserve"> </w:t>
      </w:r>
      <w:r w:rsidRPr="0043739E">
        <w:rPr>
          <w:rFonts w:asciiTheme="minorHAnsi" w:eastAsiaTheme="minorEastAsia" w:hAnsiTheme="minorHAnsi" w:cstheme="minorBidi"/>
          <w:sz w:val="22"/>
          <w:szCs w:val="22"/>
        </w:rPr>
        <w:t>foretar</w:t>
      </w:r>
      <w:r w:rsidR="00642AFB">
        <w:rPr>
          <w:rFonts w:asciiTheme="minorHAnsi" w:eastAsiaTheme="minorEastAsia" w:hAnsiTheme="minorHAnsi" w:cstheme="minorBidi"/>
          <w:sz w:val="22"/>
          <w:szCs w:val="22"/>
        </w:rPr>
        <w:t xml:space="preserve"> av denne grunn en</w:t>
      </w:r>
      <w:r w:rsidRPr="0043739E">
        <w:rPr>
          <w:rFonts w:asciiTheme="minorHAnsi" w:eastAsiaTheme="minorEastAsia" w:hAnsiTheme="minorHAnsi" w:cstheme="minorBidi"/>
          <w:sz w:val="22"/>
          <w:szCs w:val="22"/>
        </w:rPr>
        <w:t xml:space="preserve"> nærmere undersøkelser </w:t>
      </w:r>
      <w:r w:rsidR="00642AFB">
        <w:rPr>
          <w:rFonts w:asciiTheme="minorHAnsi" w:eastAsiaTheme="minorEastAsia" w:hAnsiTheme="minorHAnsi" w:cstheme="minorBidi"/>
          <w:sz w:val="22"/>
          <w:szCs w:val="22"/>
        </w:rPr>
        <w:t xml:space="preserve"> av</w:t>
      </w:r>
      <w:r w:rsidR="00642AFB" w:rsidRPr="0043739E">
        <w:rPr>
          <w:rFonts w:asciiTheme="minorHAnsi" w:eastAsiaTheme="minorEastAsia" w:hAnsiTheme="minorHAnsi" w:cstheme="minorBidi"/>
          <w:sz w:val="22"/>
          <w:szCs w:val="22"/>
        </w:rPr>
        <w:t xml:space="preserve"> </w:t>
      </w:r>
      <w:r w:rsidRPr="0043739E">
        <w:rPr>
          <w:rFonts w:asciiTheme="minorHAnsi" w:eastAsiaTheme="minorEastAsia" w:hAnsiTheme="minorHAnsi" w:cstheme="minorBidi"/>
          <w:sz w:val="22"/>
          <w:szCs w:val="22"/>
        </w:rPr>
        <w:t xml:space="preserve">ordningen. Juss-Buss mener det må foretas en gjennomgang av tilsynsordningen for å sikre at den </w:t>
      </w:r>
      <w:r w:rsidR="00642AFB">
        <w:rPr>
          <w:rFonts w:asciiTheme="minorHAnsi" w:eastAsiaTheme="minorEastAsia" w:hAnsiTheme="minorHAnsi" w:cstheme="minorBidi"/>
          <w:sz w:val="22"/>
          <w:szCs w:val="22"/>
        </w:rPr>
        <w:t xml:space="preserve"> fungerer i praksis/etter sin hensikt</w:t>
      </w:r>
      <w:r w:rsidRPr="0043739E">
        <w:rPr>
          <w:rFonts w:asciiTheme="minorHAnsi" w:eastAsiaTheme="minorEastAsia" w:hAnsiTheme="minorHAnsi" w:cstheme="minorBidi"/>
          <w:sz w:val="22"/>
          <w:szCs w:val="22"/>
        </w:rPr>
        <w:t>, og samtidig ha</w:t>
      </w:r>
      <w:r w:rsidR="00642AFB">
        <w:rPr>
          <w:rFonts w:asciiTheme="minorHAnsi" w:eastAsiaTheme="minorEastAsia" w:hAnsiTheme="minorHAnsi" w:cstheme="minorBidi"/>
          <w:sz w:val="22"/>
          <w:szCs w:val="22"/>
        </w:rPr>
        <w:t>r</w:t>
      </w:r>
      <w:r w:rsidRPr="0043739E">
        <w:rPr>
          <w:rFonts w:asciiTheme="minorHAnsi" w:eastAsiaTheme="minorEastAsia" w:hAnsiTheme="minorHAnsi" w:cstheme="minorBidi"/>
          <w:sz w:val="22"/>
          <w:szCs w:val="22"/>
        </w:rPr>
        <w:t xml:space="preserve"> menneskerettighetene for øyet. Tilsynsrådene har en unik mulighet til å kontrollere hvordan kriminalomsorgen forholder seg til og gjennomfører menneskerettigheten i den praktiske hverdag. Denne muligheten kunne man i større grad utnyttet dersom rådets medlemmer besto av jurister med kunnskap om menneskerettighetene.  På denne måten vil de innsattes rettssikkerhet kunne ivaretas i større grad</w:t>
      </w:r>
      <w:r w:rsidR="00D24BB2">
        <w:rPr>
          <w:rFonts w:asciiTheme="minorHAnsi" w:eastAsiaTheme="minorEastAsia" w:hAnsiTheme="minorHAnsi" w:cstheme="minorBidi"/>
          <w:sz w:val="22"/>
          <w:szCs w:val="22"/>
        </w:rPr>
        <w:t>. E</w:t>
      </w:r>
      <w:r w:rsidRPr="0043739E">
        <w:rPr>
          <w:rFonts w:asciiTheme="minorHAnsi" w:eastAsiaTheme="minorEastAsia" w:hAnsiTheme="minorHAnsi" w:cstheme="minorBidi"/>
          <w:sz w:val="22"/>
          <w:szCs w:val="22"/>
        </w:rPr>
        <w:t xml:space="preserve">n slik ordning ville også i større grad enn nå kunne sørge for en effektiv etterlevelse av konvensjonens rettigheter.  </w:t>
      </w:r>
    </w:p>
    <w:p w:rsidR="0043739E" w:rsidRPr="0043739E" w:rsidRDefault="0043739E" w:rsidP="0043739E">
      <w:pPr>
        <w:spacing w:after="200" w:line="276" w:lineRule="auto"/>
        <w:ind w:left="720"/>
        <w:contextualSpacing/>
        <w:rPr>
          <w:rFonts w:asciiTheme="minorHAnsi" w:eastAsiaTheme="minorEastAsia" w:hAnsiTheme="minorHAnsi" w:cstheme="minorBidi"/>
          <w:sz w:val="22"/>
          <w:szCs w:val="22"/>
        </w:rPr>
      </w:pPr>
    </w:p>
    <w:p w:rsidR="0043739E" w:rsidRPr="0043739E" w:rsidRDefault="0043739E" w:rsidP="0043739E">
      <w:pPr>
        <w:spacing w:line="276" w:lineRule="auto"/>
        <w:contextualSpacing/>
        <w:rPr>
          <w:rFonts w:asciiTheme="minorHAnsi" w:eastAsiaTheme="minorEastAsia" w:hAnsiTheme="minorHAnsi" w:cstheme="minorBidi"/>
          <w:i/>
          <w:sz w:val="22"/>
          <w:szCs w:val="22"/>
          <w:u w:val="single"/>
        </w:rPr>
      </w:pPr>
      <w:r w:rsidRPr="0043739E">
        <w:rPr>
          <w:rFonts w:asciiTheme="minorHAnsi" w:eastAsiaTheme="minorEastAsia" w:hAnsiTheme="minorHAnsi" w:cstheme="minorBidi"/>
          <w:i/>
          <w:sz w:val="22"/>
          <w:szCs w:val="22"/>
          <w:u w:val="single"/>
        </w:rPr>
        <w:t>Spesielt om utsatt iverksettelse</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Juss-Buss vil særlig fremheve betydningen av at det gis utsatt iverksettelse av forvaltningsvedtak når det fremmes </w:t>
      </w:r>
      <w:r w:rsidR="001900E5">
        <w:rPr>
          <w:rFonts w:ascii="Calibri" w:eastAsia="Calibri" w:hAnsi="Calibri"/>
          <w:sz w:val="22"/>
          <w:szCs w:val="22"/>
          <w:lang w:eastAsia="en-US"/>
        </w:rPr>
        <w:t>prosedable</w:t>
      </w:r>
      <w:r w:rsidR="001900E5" w:rsidRPr="0043739E">
        <w:rPr>
          <w:rFonts w:ascii="Calibri" w:eastAsia="Calibri" w:hAnsi="Calibri"/>
          <w:sz w:val="22"/>
          <w:szCs w:val="22"/>
          <w:lang w:eastAsia="en-US"/>
        </w:rPr>
        <w:t xml:space="preserve"> </w:t>
      </w:r>
      <w:r w:rsidRPr="0043739E">
        <w:rPr>
          <w:rFonts w:ascii="Calibri" w:eastAsia="Calibri" w:hAnsi="Calibri"/>
          <w:sz w:val="22"/>
          <w:szCs w:val="22"/>
          <w:lang w:eastAsia="en-US"/>
        </w:rPr>
        <w:t xml:space="preserve">anførsler om menneskerettighetsbrudd. I mange tilfeller vil forvaltningsvedtak som potensielt er menneskerettighetsstridige, være ugjenkallelige. Eksempelvis har vi opplevd at </w:t>
      </w:r>
      <w:r w:rsidRPr="0043739E">
        <w:rPr>
          <w:rFonts w:ascii="Calibri" w:eastAsia="Calibri" w:hAnsi="Calibri"/>
          <w:sz w:val="22"/>
          <w:szCs w:val="22"/>
          <w:lang w:eastAsia="en-US"/>
        </w:rPr>
        <w:lastRenderedPageBreak/>
        <w:t>Justisdepartementet</w:t>
      </w:r>
      <w:r w:rsidR="002E3077">
        <w:rPr>
          <w:rFonts w:ascii="Calibri" w:eastAsia="Calibri" w:hAnsi="Calibri"/>
          <w:sz w:val="22"/>
          <w:szCs w:val="22"/>
          <w:lang w:eastAsia="en-US"/>
        </w:rPr>
        <w:t>,</w:t>
      </w:r>
      <w:r w:rsidRPr="0043739E">
        <w:rPr>
          <w:rFonts w:ascii="Calibri" w:eastAsia="Calibri" w:hAnsi="Calibri"/>
          <w:sz w:val="22"/>
          <w:szCs w:val="22"/>
          <w:lang w:eastAsia="en-US"/>
        </w:rPr>
        <w:t xml:space="preserve"> ved KSF</w:t>
      </w:r>
      <w:r w:rsidR="002E3077">
        <w:rPr>
          <w:rFonts w:ascii="Calibri" w:eastAsia="Calibri" w:hAnsi="Calibri"/>
          <w:sz w:val="22"/>
          <w:szCs w:val="22"/>
          <w:lang w:eastAsia="en-US"/>
        </w:rPr>
        <w:t>,</w:t>
      </w:r>
      <w:r w:rsidRPr="0043739E">
        <w:rPr>
          <w:rFonts w:ascii="Calibri" w:eastAsia="Calibri" w:hAnsi="Calibri"/>
          <w:sz w:val="22"/>
          <w:szCs w:val="22"/>
          <w:lang w:eastAsia="en-US"/>
        </w:rPr>
        <w:t xml:space="preserve"> ikke har gitt utsatt iverksettelse, og overført fanger som risikerer mishandling i Øst-</w:t>
      </w:r>
      <w:r w:rsidR="00D24BB2">
        <w:rPr>
          <w:rFonts w:ascii="Calibri" w:eastAsia="Calibri" w:hAnsi="Calibri"/>
          <w:sz w:val="22"/>
          <w:szCs w:val="22"/>
          <w:lang w:eastAsia="en-US"/>
        </w:rPr>
        <w:t>E</w:t>
      </w:r>
      <w:r w:rsidRPr="0043739E">
        <w:rPr>
          <w:rFonts w:ascii="Calibri" w:eastAsia="Calibri" w:hAnsi="Calibri"/>
          <w:sz w:val="22"/>
          <w:szCs w:val="22"/>
          <w:lang w:eastAsia="en-US"/>
        </w:rPr>
        <w:t xml:space="preserve">uropeiske fengsler mens Sivilombudsmannen </w:t>
      </w:r>
      <w:r w:rsidR="00D24BB2">
        <w:rPr>
          <w:rFonts w:ascii="Calibri" w:eastAsia="Calibri" w:hAnsi="Calibri"/>
          <w:sz w:val="22"/>
          <w:szCs w:val="22"/>
          <w:lang w:eastAsia="en-US"/>
        </w:rPr>
        <w:t xml:space="preserve"> behandler</w:t>
      </w:r>
      <w:r w:rsidRPr="0043739E">
        <w:rPr>
          <w:rFonts w:ascii="Calibri" w:eastAsia="Calibri" w:hAnsi="Calibri"/>
          <w:sz w:val="22"/>
          <w:szCs w:val="22"/>
          <w:lang w:eastAsia="en-US"/>
        </w:rPr>
        <w:t xml:space="preserve"> saken. Fangen hadde ikke tilgang til ytterligere rettshjelp, og var dermed uten mulighet til å få en rettsavgjørelse om utsatt iverksette</w:t>
      </w:r>
      <w:r w:rsidR="00D24BB2">
        <w:rPr>
          <w:rFonts w:ascii="Calibri" w:eastAsia="Calibri" w:hAnsi="Calibri"/>
          <w:sz w:val="22"/>
          <w:szCs w:val="22"/>
          <w:lang w:eastAsia="en-US"/>
        </w:rPr>
        <w:t>l</w:t>
      </w:r>
      <w:r w:rsidRPr="0043739E">
        <w:rPr>
          <w:rFonts w:ascii="Calibri" w:eastAsia="Calibri" w:hAnsi="Calibri"/>
          <w:sz w:val="22"/>
          <w:szCs w:val="22"/>
          <w:lang w:eastAsia="en-US"/>
        </w:rPr>
        <w:t xml:space="preserve">se. De samme problemstillingene har vi sett i utlendingssaker. Gjennomføring av </w:t>
      </w:r>
      <w:r w:rsidR="00D24BB2">
        <w:rPr>
          <w:rFonts w:ascii="Calibri" w:eastAsia="Calibri" w:hAnsi="Calibri"/>
          <w:sz w:val="22"/>
          <w:szCs w:val="22"/>
          <w:lang w:eastAsia="en-US"/>
        </w:rPr>
        <w:t xml:space="preserve"> </w:t>
      </w:r>
      <w:r w:rsidRPr="0043739E">
        <w:rPr>
          <w:rFonts w:ascii="Calibri" w:eastAsia="Calibri" w:hAnsi="Calibri"/>
          <w:sz w:val="22"/>
          <w:szCs w:val="22"/>
          <w:lang w:eastAsia="en-US"/>
        </w:rPr>
        <w:t xml:space="preserve">vedtak på en slik møte tar i realiteten bort all mulighet til å få overprøvd vedtaket. Denne praksisen er svært uheldig, og viser </w:t>
      </w:r>
      <w:r w:rsidR="001900E5">
        <w:rPr>
          <w:rFonts w:ascii="Calibri" w:eastAsia="Calibri" w:hAnsi="Calibri"/>
          <w:sz w:val="22"/>
          <w:szCs w:val="22"/>
          <w:lang w:eastAsia="en-US"/>
        </w:rPr>
        <w:t xml:space="preserve">at </w:t>
      </w:r>
      <w:r w:rsidRPr="0043739E">
        <w:rPr>
          <w:rFonts w:ascii="Calibri" w:eastAsia="Calibri" w:hAnsi="Calibri"/>
          <w:sz w:val="22"/>
          <w:szCs w:val="22"/>
          <w:lang w:eastAsia="en-US"/>
        </w:rPr>
        <w:t xml:space="preserve"> </w:t>
      </w:r>
      <w:r w:rsidR="001900E5">
        <w:rPr>
          <w:rFonts w:ascii="Calibri" w:eastAsia="Calibri" w:hAnsi="Calibri"/>
          <w:sz w:val="22"/>
          <w:szCs w:val="22"/>
          <w:lang w:eastAsia="en-US"/>
        </w:rPr>
        <w:t>forvaltningen i liten grad tar inn over seg alvoret i slike saker</w:t>
      </w:r>
      <w:r w:rsidRPr="0043739E">
        <w:rPr>
          <w:rFonts w:ascii="Calibri" w:eastAsia="Calibri" w:hAnsi="Calibri"/>
          <w:sz w:val="22"/>
          <w:szCs w:val="22"/>
          <w:lang w:eastAsia="en-US"/>
        </w:rPr>
        <w:t>. Juss</w:t>
      </w:r>
      <w:r w:rsidRPr="0043739E">
        <w:rPr>
          <w:rFonts w:ascii="Calibri" w:eastAsia="Calibri" w:hAnsi="Calibri"/>
          <w:sz w:val="22"/>
          <w:szCs w:val="22"/>
          <w:lang w:eastAsia="en-US"/>
        </w:rPr>
        <w:noBreakHyphen/>
        <w:t>Buss mener det må sikres at slike inngripende og ugjenkallelige vedtak ikke effektueres før menneskerettighetsanførslene er prøvet på en forsvarlig måte.</w:t>
      </w:r>
    </w:p>
    <w:p w:rsidR="0043739E" w:rsidRPr="0043739E" w:rsidRDefault="0043739E" w:rsidP="0043739E">
      <w:pPr>
        <w:spacing w:after="200" w:line="276" w:lineRule="auto"/>
        <w:contextualSpacing/>
        <w:rPr>
          <w:rFonts w:asciiTheme="minorHAnsi" w:eastAsiaTheme="minorEastAsia" w:hAnsiTheme="minorHAnsi" w:cstheme="minorBidi"/>
          <w:sz w:val="22"/>
          <w:szCs w:val="22"/>
        </w:rPr>
      </w:pPr>
    </w:p>
    <w:p w:rsidR="0043739E" w:rsidRPr="0043739E" w:rsidRDefault="0043739E" w:rsidP="0043739E">
      <w:pPr>
        <w:spacing w:after="200" w:line="276" w:lineRule="auto"/>
        <w:contextualSpacing/>
        <w:rPr>
          <w:rFonts w:asciiTheme="minorHAnsi" w:eastAsiaTheme="minorEastAsia" w:hAnsiTheme="minorHAnsi" w:cstheme="minorBidi"/>
          <w:b/>
          <w:sz w:val="22"/>
          <w:szCs w:val="22"/>
        </w:rPr>
      </w:pPr>
      <w:r w:rsidRPr="0043739E">
        <w:rPr>
          <w:rFonts w:asciiTheme="minorHAnsi" w:eastAsiaTheme="minorEastAsia" w:hAnsiTheme="minorHAnsi" w:cstheme="minorBidi"/>
          <w:b/>
          <w:sz w:val="22"/>
          <w:szCs w:val="22"/>
        </w:rPr>
        <w:t>Til høringens punkt 6</w:t>
      </w:r>
    </w:p>
    <w:p w:rsidR="0043739E" w:rsidRPr="0043739E" w:rsidRDefault="0043739E" w:rsidP="0043739E">
      <w:pPr>
        <w:spacing w:after="200" w:line="276" w:lineRule="auto"/>
        <w:outlineLvl w:val="0"/>
        <w:rPr>
          <w:rFonts w:ascii="Calibri" w:eastAsia="Calibri" w:hAnsi="Calibri"/>
          <w:i/>
          <w:sz w:val="22"/>
          <w:szCs w:val="22"/>
          <w:lang w:eastAsia="en-US"/>
        </w:rPr>
      </w:pPr>
      <w:r w:rsidRPr="0043739E">
        <w:rPr>
          <w:rFonts w:ascii="Calibri" w:eastAsia="Calibri" w:hAnsi="Calibri"/>
          <w:sz w:val="22"/>
          <w:szCs w:val="22"/>
          <w:lang w:eastAsia="en-US"/>
        </w:rPr>
        <w:t xml:space="preserve">Juss-Buss er positive til at tiltakene i reformpakken gjennomføres, men hadde helst sett at det var større åpenhet rundt hvor langt man var kommet i det konkrete arbeidet med gjennomføringen av </w:t>
      </w:r>
      <w:r w:rsidR="001900E5">
        <w:rPr>
          <w:rFonts w:ascii="Calibri" w:eastAsia="Calibri" w:hAnsi="Calibri"/>
          <w:sz w:val="22"/>
          <w:szCs w:val="22"/>
          <w:lang w:eastAsia="en-US"/>
        </w:rPr>
        <w:t>de enkelte tiltakene</w:t>
      </w:r>
      <w:r w:rsidRPr="0043739E">
        <w:rPr>
          <w:rFonts w:ascii="Calibri" w:eastAsia="Calibri" w:hAnsi="Calibri"/>
          <w:sz w:val="22"/>
          <w:szCs w:val="22"/>
          <w:lang w:eastAsia="en-US"/>
        </w:rPr>
        <w:t xml:space="preserve">. Henvisningen til at dette ”løpende vurderes” av norske myndigheter er ikke tilstrekkelig informativ til å vurdere om oppfølgingsarbeidet er i tråd med anbefalingene. </w:t>
      </w:r>
    </w:p>
    <w:p w:rsidR="0043739E" w:rsidRPr="0043739E" w:rsidRDefault="0043739E" w:rsidP="0043739E">
      <w:pPr>
        <w:spacing w:after="200" w:line="276" w:lineRule="auto"/>
        <w:outlineLvl w:val="0"/>
        <w:rPr>
          <w:rFonts w:ascii="Calibri" w:eastAsia="Calibri" w:hAnsi="Calibri"/>
          <w:b/>
          <w:sz w:val="22"/>
          <w:szCs w:val="22"/>
          <w:lang w:eastAsia="en-US"/>
        </w:rPr>
      </w:pPr>
      <w:r w:rsidRPr="0043739E">
        <w:rPr>
          <w:rFonts w:ascii="Calibri" w:eastAsia="Calibri" w:hAnsi="Calibri"/>
          <w:b/>
          <w:sz w:val="22"/>
          <w:szCs w:val="22"/>
          <w:lang w:eastAsia="en-US"/>
        </w:rPr>
        <w:t>Til høringens punkt 7</w:t>
      </w:r>
    </w:p>
    <w:p w:rsidR="0043739E" w:rsidRPr="0043739E" w:rsidRDefault="0043739E" w:rsidP="0043739E">
      <w:pPr>
        <w:spacing w:after="200" w:line="276" w:lineRule="auto"/>
        <w:outlineLvl w:val="0"/>
        <w:rPr>
          <w:rFonts w:ascii="Calibri" w:eastAsia="Calibri" w:hAnsi="Calibri"/>
          <w:sz w:val="22"/>
          <w:szCs w:val="22"/>
          <w:lang w:eastAsia="en-US"/>
        </w:rPr>
      </w:pPr>
      <w:r w:rsidRPr="0043739E">
        <w:rPr>
          <w:rFonts w:ascii="Calibri" w:eastAsia="Calibri" w:hAnsi="Calibri"/>
          <w:sz w:val="22"/>
          <w:szCs w:val="22"/>
          <w:lang w:eastAsia="en-US"/>
        </w:rPr>
        <w:t>Det vises generelt til punkt 4 ovenfor. De samme momentene, som tiltak til informasjon, rettshjelp og effektive tilsynsordninger</w:t>
      </w:r>
      <w:r w:rsidR="00D24BB2">
        <w:rPr>
          <w:rFonts w:ascii="Calibri" w:eastAsia="Calibri" w:hAnsi="Calibri"/>
          <w:sz w:val="22"/>
          <w:szCs w:val="22"/>
          <w:lang w:eastAsia="en-US"/>
        </w:rPr>
        <w:t>,</w:t>
      </w:r>
      <w:r w:rsidRPr="0043739E">
        <w:rPr>
          <w:rFonts w:ascii="Calibri" w:eastAsia="Calibri" w:hAnsi="Calibri"/>
          <w:sz w:val="22"/>
          <w:szCs w:val="22"/>
          <w:lang w:eastAsia="en-US"/>
        </w:rPr>
        <w:t xml:space="preserve"> gjør seg gjeldende også i denne sammenheng.</w:t>
      </w:r>
    </w:p>
    <w:p w:rsidR="0043739E" w:rsidRPr="0043739E" w:rsidRDefault="0043739E" w:rsidP="0043739E">
      <w:pPr>
        <w:spacing w:after="200" w:line="276" w:lineRule="auto"/>
        <w:contextualSpacing/>
        <w:rPr>
          <w:rFonts w:asciiTheme="minorHAnsi" w:eastAsiaTheme="minorEastAsia" w:hAnsiTheme="minorHAnsi" w:cstheme="minorBidi"/>
          <w:i/>
          <w:sz w:val="22"/>
          <w:szCs w:val="22"/>
          <w:u w:val="single"/>
        </w:rPr>
      </w:pPr>
      <w:r w:rsidRPr="0043739E">
        <w:rPr>
          <w:rFonts w:asciiTheme="minorHAnsi" w:eastAsiaTheme="minorEastAsia" w:hAnsiTheme="minorHAnsi" w:cstheme="minorBidi"/>
          <w:i/>
          <w:sz w:val="22"/>
          <w:szCs w:val="22"/>
          <w:u w:val="single"/>
        </w:rPr>
        <w:t>Informasjon og veiledning</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Etter Juss-Buss </w:t>
      </w:r>
      <w:r w:rsidR="00D24BB2">
        <w:rPr>
          <w:rFonts w:ascii="Calibri" w:eastAsia="Calibri" w:hAnsi="Calibri"/>
          <w:sz w:val="22"/>
          <w:szCs w:val="22"/>
          <w:lang w:eastAsia="en-US"/>
        </w:rPr>
        <w:t xml:space="preserve">sin </w:t>
      </w:r>
      <w:r w:rsidRPr="0043739E">
        <w:rPr>
          <w:rFonts w:ascii="Calibri" w:eastAsia="Calibri" w:hAnsi="Calibri"/>
          <w:sz w:val="22"/>
          <w:szCs w:val="22"/>
          <w:lang w:eastAsia="en-US"/>
        </w:rPr>
        <w:t>oppfatning er situasjonen med informasjon og veiledning om praksis fra EMD og søknads- og prosessforutsetninger ikke tilfredsstillende.</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Tilstrekkelig kunnskap om rettigheter, eller tilgang til nødvendig juridisk bistand, vil være avgjørende for å realisere rettighetene etter EMK. Vår erfaring viser imidlertid at innenfor de rettsområdene hvor det er størst sannsynlighet for menneskerettighetsbrudd, eksempelvis utlendingsrett og fengselsrett, har klientene ofte ikke tils</w:t>
      </w:r>
      <w:r w:rsidR="00D24BB2">
        <w:rPr>
          <w:rFonts w:ascii="Calibri" w:eastAsia="Calibri" w:hAnsi="Calibri"/>
          <w:sz w:val="22"/>
          <w:szCs w:val="22"/>
          <w:lang w:eastAsia="en-US"/>
        </w:rPr>
        <w:t>t</w:t>
      </w:r>
      <w:r w:rsidRPr="0043739E">
        <w:rPr>
          <w:rFonts w:ascii="Calibri" w:eastAsia="Calibri" w:hAnsi="Calibri"/>
          <w:sz w:val="22"/>
          <w:szCs w:val="22"/>
          <w:lang w:eastAsia="en-US"/>
        </w:rPr>
        <w:t xml:space="preserve">rekkelig personlige eller økonomiske ressurser til å hevde sine rettigheter.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Veiledningsordningene om menneskerettigheter og prosedyren for å ta en sak inn for EMD må bli mer omfattende, og må være rettet mot behovet til klientgruppene. Det innebærer blant at veiledningen må være tilgjengelig for klientene, eksempelvis i fengslene, og at den må være på et språk klientene forstår.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Forvaltningens veiledningsplikt er ikke tilstrekkelig til å dekke behovet for veiledning. De har verken tilstrekkelig uavhengighet eller kunnskap til å gi fullgod bistand til de aktuelle klientgruppene.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Et tiltak som kunne sikret at nødvendig hjelp blir gitt, var å legge veiledning til bestemte organer, eksempelvis Senter for menneskerettigheter. Dette vil imidlertid være betinget av at SMR får tildelt adskillig større ressurser enn de i dag har. </w:t>
      </w:r>
    </w:p>
    <w:p w:rsidR="0043739E" w:rsidRPr="0043739E" w:rsidRDefault="0043739E" w:rsidP="0043739E">
      <w:pPr>
        <w:spacing w:line="276" w:lineRule="auto"/>
        <w:contextualSpacing/>
        <w:rPr>
          <w:rFonts w:asciiTheme="minorHAnsi" w:eastAsiaTheme="minorEastAsia" w:hAnsiTheme="minorHAnsi" w:cstheme="minorBidi"/>
          <w:i/>
          <w:sz w:val="22"/>
          <w:szCs w:val="22"/>
          <w:u w:val="single"/>
        </w:rPr>
      </w:pPr>
      <w:r w:rsidRPr="0043739E">
        <w:rPr>
          <w:rFonts w:asciiTheme="minorHAnsi" w:eastAsiaTheme="minorEastAsia" w:hAnsiTheme="minorHAnsi" w:cstheme="minorBidi"/>
          <w:i/>
          <w:sz w:val="22"/>
          <w:szCs w:val="22"/>
          <w:u w:val="single"/>
        </w:rPr>
        <w:t xml:space="preserve">Rettshjelp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Etter den norske rettshjelpsloven vil rettshjelp ikke innvilges før en sak er tatt opp til realitetsbehandling behandling i EMD. Det innebærer at </w:t>
      </w:r>
      <w:r w:rsidR="00D24BB2" w:rsidRPr="0043739E">
        <w:rPr>
          <w:rFonts w:ascii="Calibri" w:eastAsia="Calibri" w:hAnsi="Calibri"/>
          <w:sz w:val="22"/>
          <w:szCs w:val="22"/>
          <w:lang w:eastAsia="en-US"/>
        </w:rPr>
        <w:t xml:space="preserve">rettshjelp ikke gis </w:t>
      </w:r>
      <w:r w:rsidRPr="0043739E">
        <w:rPr>
          <w:rFonts w:ascii="Calibri" w:eastAsia="Calibri" w:hAnsi="Calibri"/>
          <w:sz w:val="22"/>
          <w:szCs w:val="22"/>
          <w:lang w:eastAsia="en-US"/>
        </w:rPr>
        <w:t>for stadiene med utarbeidelse av klage og ved kommunikasjon til staten vil.</w:t>
      </w:r>
      <w:r w:rsidRPr="0043739E">
        <w:rPr>
          <w:rFonts w:ascii="Calibri" w:eastAsia="Calibri" w:hAnsi="Calibri"/>
          <w:sz w:val="22"/>
          <w:szCs w:val="22"/>
          <w:vertAlign w:val="superscript"/>
          <w:lang w:eastAsia="en-US"/>
        </w:rPr>
        <w:footnoteReference w:id="4"/>
      </w:r>
      <w:r w:rsidRPr="0043739E">
        <w:rPr>
          <w:rFonts w:ascii="Calibri" w:eastAsia="Calibri" w:hAnsi="Calibri"/>
          <w:sz w:val="22"/>
          <w:szCs w:val="22"/>
          <w:lang w:eastAsia="en-US"/>
        </w:rPr>
        <w:t xml:space="preserve"> </w:t>
      </w:r>
    </w:p>
    <w:p w:rsidR="0043739E" w:rsidRPr="0043739E" w:rsidRDefault="0043739E" w:rsidP="0043739E">
      <w:pPr>
        <w:spacing w:after="200" w:line="276" w:lineRule="auto"/>
        <w:rPr>
          <w:rFonts w:ascii="Calibri" w:eastAsia="Calibri" w:hAnsi="Calibri"/>
          <w:sz w:val="22"/>
          <w:szCs w:val="22"/>
          <w:lang w:eastAsia="en-US"/>
        </w:rPr>
      </w:pPr>
      <w:r w:rsidRPr="0043739E">
        <w:rPr>
          <w:rFonts w:ascii="Calibri" w:eastAsia="Calibri" w:hAnsi="Calibri"/>
          <w:sz w:val="22"/>
          <w:szCs w:val="22"/>
          <w:lang w:eastAsia="en-US"/>
        </w:rPr>
        <w:t xml:space="preserve">Etter Juss-Buss’ mening må Norge i større grad gi rettshjelp på et tidligere stadium i prosesser hvor personer tar saker til EMD. Dette vil kunne bidra til å minske andelen ubegrunnede klager. I alle tilfeller vil det være </w:t>
      </w:r>
      <w:r w:rsidRPr="0043739E">
        <w:rPr>
          <w:rFonts w:ascii="Calibri" w:eastAsia="Calibri" w:hAnsi="Calibri"/>
          <w:sz w:val="22"/>
          <w:szCs w:val="22"/>
          <w:lang w:eastAsia="en-US"/>
        </w:rPr>
        <w:lastRenderedPageBreak/>
        <w:t>viktig for å sikre at velbegrunnede klager ikke urettmessig siles bort, som følge av at søker ikke har tilstrekkelig økonomiske ressurser til å betale for en advokat.</w:t>
      </w:r>
    </w:p>
    <w:p w:rsidR="00F91BE2" w:rsidRPr="0043739E" w:rsidRDefault="00F91BE2" w:rsidP="0068519B">
      <w:pPr>
        <w:rPr>
          <w:rFonts w:asciiTheme="minorHAnsi" w:hAnsiTheme="minorHAnsi" w:cstheme="minorHAnsi"/>
          <w:sz w:val="22"/>
          <w:szCs w:val="22"/>
        </w:rPr>
      </w:pPr>
    </w:p>
    <w:p w:rsidR="00F91BE2" w:rsidRPr="0043739E" w:rsidRDefault="00F91BE2" w:rsidP="0043739E">
      <w:pPr>
        <w:rPr>
          <w:rFonts w:asciiTheme="minorHAnsi" w:hAnsiTheme="minorHAnsi" w:cstheme="minorHAnsi"/>
          <w:sz w:val="22"/>
          <w:szCs w:val="22"/>
        </w:rPr>
      </w:pPr>
    </w:p>
    <w:p w:rsidR="0068519B" w:rsidRPr="0043739E" w:rsidRDefault="0068519B" w:rsidP="0043739E">
      <w:pPr>
        <w:rPr>
          <w:rFonts w:asciiTheme="minorHAnsi" w:hAnsiTheme="minorHAnsi" w:cstheme="minorHAnsi"/>
          <w:sz w:val="22"/>
          <w:szCs w:val="22"/>
        </w:rPr>
      </w:pPr>
      <w:r w:rsidRPr="0043739E">
        <w:rPr>
          <w:rFonts w:asciiTheme="minorHAnsi" w:hAnsiTheme="minorHAnsi" w:cstheme="minorHAnsi"/>
          <w:sz w:val="22"/>
          <w:szCs w:val="22"/>
        </w:rPr>
        <w:t>Med vennlig hilsen</w:t>
      </w:r>
      <w:r w:rsidR="00FA6DC4" w:rsidRPr="0043739E">
        <w:rPr>
          <w:rFonts w:asciiTheme="minorHAnsi" w:hAnsiTheme="minorHAnsi" w:cstheme="minorHAnsi"/>
          <w:sz w:val="22"/>
          <w:szCs w:val="22"/>
        </w:rPr>
        <w:t>,</w:t>
      </w:r>
    </w:p>
    <w:p w:rsidR="001058CC" w:rsidRPr="0043739E" w:rsidRDefault="0068519B" w:rsidP="0043739E">
      <w:pPr>
        <w:rPr>
          <w:rFonts w:asciiTheme="minorHAnsi" w:hAnsiTheme="minorHAnsi" w:cstheme="minorHAnsi"/>
          <w:sz w:val="22"/>
          <w:szCs w:val="22"/>
        </w:rPr>
      </w:pPr>
      <w:r w:rsidRPr="0043739E">
        <w:rPr>
          <w:rFonts w:asciiTheme="minorHAnsi" w:hAnsiTheme="minorHAnsi" w:cstheme="minorHAnsi"/>
          <w:sz w:val="22"/>
          <w:szCs w:val="22"/>
        </w:rPr>
        <w:t>for Juss-Buss</w:t>
      </w:r>
    </w:p>
    <w:p w:rsidR="002D2A95" w:rsidRDefault="002D2A95" w:rsidP="0043739E">
      <w:pPr>
        <w:rPr>
          <w:rFonts w:asciiTheme="minorHAnsi" w:hAnsiTheme="minorHAnsi" w:cstheme="minorHAnsi"/>
          <w:sz w:val="22"/>
          <w:szCs w:val="22"/>
        </w:rPr>
        <w:sectPr w:rsidR="002D2A95" w:rsidSect="002F6258">
          <w:footerReference w:type="even" r:id="rId8"/>
          <w:footerReference w:type="default" r:id="rId9"/>
          <w:headerReference w:type="first" r:id="rId10"/>
          <w:footerReference w:type="first" r:id="rId11"/>
          <w:pgSz w:w="11906" w:h="16838" w:code="9"/>
          <w:pgMar w:top="1440" w:right="1008" w:bottom="1440" w:left="1008" w:header="576" w:footer="590" w:gutter="0"/>
          <w:cols w:space="708"/>
          <w:titlePg/>
        </w:sectPr>
      </w:pPr>
    </w:p>
    <w:p w:rsidR="001058CC" w:rsidRPr="0043739E" w:rsidRDefault="001058CC" w:rsidP="0043739E">
      <w:pPr>
        <w:rPr>
          <w:rFonts w:asciiTheme="minorHAnsi" w:hAnsiTheme="minorHAnsi" w:cstheme="minorHAnsi"/>
          <w:sz w:val="22"/>
          <w:szCs w:val="22"/>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_______________________</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Kirsten Vikesland Mæhle</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______________________</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Torunn Hoem Brunsvik</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______________________</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Susanne Skei Fostvedt</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Pr>
          <w:rFonts w:asciiTheme="minorHAnsi" w:hAnsiTheme="minorHAnsi" w:cstheme="minorHAnsi"/>
          <w:sz w:val="24"/>
          <w:szCs w:val="24"/>
        </w:rPr>
        <w:br w:type="column"/>
      </w:r>
    </w:p>
    <w:p w:rsid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______________________</w:t>
      </w:r>
      <w:r w:rsidRPr="002D2A95">
        <w:rPr>
          <w:rFonts w:asciiTheme="minorHAnsi" w:hAnsiTheme="minorHAnsi" w:cstheme="minorHAnsi"/>
          <w:sz w:val="24"/>
          <w:szCs w:val="24"/>
        </w:rPr>
        <w:tab/>
      </w:r>
      <w:r w:rsidRPr="002D2A95">
        <w:rPr>
          <w:rFonts w:asciiTheme="minorHAnsi" w:hAnsiTheme="minorHAnsi" w:cstheme="minorHAnsi"/>
          <w:sz w:val="24"/>
          <w:szCs w:val="24"/>
        </w:rPr>
        <w:tab/>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Elise Gedde Metz</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______________________</w:t>
      </w:r>
    </w:p>
    <w:p w:rsidR="002D2A95" w:rsidRPr="002D2A95" w:rsidRDefault="002D2A95" w:rsidP="002D2A95">
      <w:pPr>
        <w:pStyle w:val="Header"/>
        <w:tabs>
          <w:tab w:val="clear" w:pos="4536"/>
          <w:tab w:val="left" w:pos="6379"/>
          <w:tab w:val="left" w:pos="7920"/>
        </w:tabs>
        <w:rPr>
          <w:rFonts w:asciiTheme="minorHAnsi" w:hAnsiTheme="minorHAnsi" w:cstheme="minorHAnsi"/>
          <w:sz w:val="24"/>
          <w:szCs w:val="24"/>
        </w:rPr>
      </w:pPr>
      <w:r w:rsidRPr="002D2A95">
        <w:rPr>
          <w:rFonts w:asciiTheme="minorHAnsi" w:hAnsiTheme="minorHAnsi" w:cstheme="minorHAnsi"/>
          <w:sz w:val="24"/>
          <w:szCs w:val="24"/>
        </w:rPr>
        <w:t>Olaf Halvorsen Rønning</w:t>
      </w:r>
    </w:p>
    <w:p w:rsidR="002D2A95" w:rsidRPr="0043739E" w:rsidRDefault="002D2A95">
      <w:pPr>
        <w:rPr>
          <w:rFonts w:asciiTheme="minorHAnsi" w:hAnsiTheme="minorHAnsi" w:cstheme="minorHAnsi"/>
          <w:sz w:val="22"/>
          <w:szCs w:val="22"/>
        </w:rPr>
      </w:pPr>
    </w:p>
    <w:sectPr w:rsidR="002D2A95" w:rsidRPr="0043739E" w:rsidSect="002D2A95">
      <w:type w:val="continuous"/>
      <w:pgSz w:w="11906" w:h="16838" w:code="9"/>
      <w:pgMar w:top="1440" w:right="1008" w:bottom="1440" w:left="1008" w:header="576" w:footer="590" w:gutter="0"/>
      <w:cols w:num="2"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27" w:rsidRDefault="00E13A27">
      <w:r>
        <w:separator/>
      </w:r>
    </w:p>
  </w:endnote>
  <w:endnote w:type="continuationSeparator" w:id="0">
    <w:p w:rsidR="00E13A27" w:rsidRDefault="00E13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7" w:rsidRDefault="009E7FC8" w:rsidP="002F6258">
    <w:pPr>
      <w:pStyle w:val="Footer"/>
      <w:framePr w:wrap="around" w:vAnchor="text" w:hAnchor="margin" w:xAlign="right" w:y="1"/>
      <w:rPr>
        <w:rStyle w:val="PageNumber"/>
      </w:rPr>
    </w:pPr>
    <w:r>
      <w:rPr>
        <w:rStyle w:val="PageNumber"/>
      </w:rPr>
      <w:fldChar w:fldCharType="begin"/>
    </w:r>
    <w:r w:rsidR="00E13A27">
      <w:rPr>
        <w:rStyle w:val="PageNumber"/>
      </w:rPr>
      <w:instrText xml:space="preserve">PAGE  </w:instrText>
    </w:r>
    <w:r>
      <w:rPr>
        <w:rStyle w:val="PageNumber"/>
      </w:rPr>
      <w:fldChar w:fldCharType="separate"/>
    </w:r>
    <w:r w:rsidR="00E13A27">
      <w:rPr>
        <w:rStyle w:val="PageNumber"/>
        <w:noProof/>
      </w:rPr>
      <w:t>1</w:t>
    </w:r>
    <w:r>
      <w:rPr>
        <w:rStyle w:val="PageNumber"/>
      </w:rPr>
      <w:fldChar w:fldCharType="end"/>
    </w:r>
  </w:p>
  <w:p w:rsidR="00E13A27" w:rsidRDefault="00E13A27" w:rsidP="002F62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07196"/>
      <w:docPartObj>
        <w:docPartGallery w:val="Page Numbers (Bottom of Page)"/>
        <w:docPartUnique/>
      </w:docPartObj>
    </w:sdtPr>
    <w:sdtContent>
      <w:sdt>
        <w:sdtPr>
          <w:id w:val="1517307197"/>
          <w:docPartObj>
            <w:docPartGallery w:val="Page Numbers (Top of Page)"/>
            <w:docPartUnique/>
          </w:docPartObj>
        </w:sdtPr>
        <w:sdtContent>
          <w:p w:rsidR="00E13A27" w:rsidRDefault="00E13A27">
            <w:pPr>
              <w:pStyle w:val="Footer"/>
              <w:jc w:val="right"/>
            </w:pPr>
            <w:r>
              <w:t xml:space="preserve">Side </w:t>
            </w:r>
            <w:r w:rsidR="009E7FC8">
              <w:rPr>
                <w:b/>
                <w:sz w:val="24"/>
                <w:szCs w:val="24"/>
              </w:rPr>
              <w:fldChar w:fldCharType="begin"/>
            </w:r>
            <w:r>
              <w:rPr>
                <w:b/>
              </w:rPr>
              <w:instrText>PAGE</w:instrText>
            </w:r>
            <w:r w:rsidR="009E7FC8">
              <w:rPr>
                <w:b/>
                <w:sz w:val="24"/>
                <w:szCs w:val="24"/>
              </w:rPr>
              <w:fldChar w:fldCharType="separate"/>
            </w:r>
            <w:r w:rsidR="00400AEC">
              <w:rPr>
                <w:b/>
                <w:noProof/>
              </w:rPr>
              <w:t>2</w:t>
            </w:r>
            <w:r w:rsidR="009E7FC8">
              <w:rPr>
                <w:b/>
                <w:sz w:val="24"/>
                <w:szCs w:val="24"/>
              </w:rPr>
              <w:fldChar w:fldCharType="end"/>
            </w:r>
            <w:r>
              <w:t xml:space="preserve"> av </w:t>
            </w:r>
            <w:r w:rsidR="009E7FC8">
              <w:rPr>
                <w:b/>
                <w:sz w:val="24"/>
                <w:szCs w:val="24"/>
              </w:rPr>
              <w:fldChar w:fldCharType="begin"/>
            </w:r>
            <w:r>
              <w:rPr>
                <w:b/>
              </w:rPr>
              <w:instrText>NUMPAGES</w:instrText>
            </w:r>
            <w:r w:rsidR="009E7FC8">
              <w:rPr>
                <w:b/>
                <w:sz w:val="24"/>
                <w:szCs w:val="24"/>
              </w:rPr>
              <w:fldChar w:fldCharType="separate"/>
            </w:r>
            <w:r w:rsidR="00400AEC">
              <w:rPr>
                <w:b/>
                <w:noProof/>
              </w:rPr>
              <w:t>5</w:t>
            </w:r>
            <w:r w:rsidR="009E7FC8">
              <w:rPr>
                <w:b/>
                <w:sz w:val="24"/>
                <w:szCs w:val="24"/>
              </w:rPr>
              <w:fldChar w:fldCharType="end"/>
            </w:r>
          </w:p>
        </w:sdtContent>
      </w:sdt>
    </w:sdtContent>
  </w:sdt>
  <w:p w:rsidR="00E13A27" w:rsidRDefault="00E13A27" w:rsidP="00D85E15">
    <w:pPr>
      <w:pStyle w:val="Footer"/>
      <w:tabs>
        <w:tab w:val="clear" w:pos="4536"/>
        <w:tab w:val="clear" w:pos="9072"/>
      </w:tabs>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07198"/>
      <w:docPartObj>
        <w:docPartGallery w:val="Page Numbers (Bottom of Page)"/>
        <w:docPartUnique/>
      </w:docPartObj>
    </w:sdtPr>
    <w:sdtContent>
      <w:sdt>
        <w:sdtPr>
          <w:id w:val="1517307199"/>
          <w:docPartObj>
            <w:docPartGallery w:val="Page Numbers (Top of Page)"/>
            <w:docPartUnique/>
          </w:docPartObj>
        </w:sdtPr>
        <w:sdtContent>
          <w:p w:rsidR="00E13A27" w:rsidRDefault="00E13A27">
            <w:pPr>
              <w:pStyle w:val="Footer"/>
              <w:jc w:val="right"/>
            </w:pPr>
            <w:r>
              <w:t xml:space="preserve">Side </w:t>
            </w:r>
            <w:r w:rsidR="009E7FC8">
              <w:rPr>
                <w:b/>
                <w:sz w:val="24"/>
                <w:szCs w:val="24"/>
              </w:rPr>
              <w:fldChar w:fldCharType="begin"/>
            </w:r>
            <w:r>
              <w:rPr>
                <w:b/>
              </w:rPr>
              <w:instrText>PAGE</w:instrText>
            </w:r>
            <w:r w:rsidR="009E7FC8">
              <w:rPr>
                <w:b/>
                <w:sz w:val="24"/>
                <w:szCs w:val="24"/>
              </w:rPr>
              <w:fldChar w:fldCharType="separate"/>
            </w:r>
            <w:r w:rsidR="00400AEC">
              <w:rPr>
                <w:b/>
                <w:noProof/>
              </w:rPr>
              <w:t>1</w:t>
            </w:r>
            <w:r w:rsidR="009E7FC8">
              <w:rPr>
                <w:b/>
                <w:sz w:val="24"/>
                <w:szCs w:val="24"/>
              </w:rPr>
              <w:fldChar w:fldCharType="end"/>
            </w:r>
            <w:r>
              <w:t xml:space="preserve"> av </w:t>
            </w:r>
            <w:r w:rsidR="009E7FC8">
              <w:rPr>
                <w:b/>
                <w:sz w:val="24"/>
                <w:szCs w:val="24"/>
              </w:rPr>
              <w:fldChar w:fldCharType="begin"/>
            </w:r>
            <w:r>
              <w:rPr>
                <w:b/>
              </w:rPr>
              <w:instrText>NUMPAGES</w:instrText>
            </w:r>
            <w:r w:rsidR="009E7FC8">
              <w:rPr>
                <w:b/>
                <w:sz w:val="24"/>
                <w:szCs w:val="24"/>
              </w:rPr>
              <w:fldChar w:fldCharType="separate"/>
            </w:r>
            <w:r w:rsidR="00400AEC">
              <w:rPr>
                <w:b/>
                <w:noProof/>
              </w:rPr>
              <w:t>1</w:t>
            </w:r>
            <w:r w:rsidR="009E7FC8">
              <w:rPr>
                <w:b/>
                <w:sz w:val="24"/>
                <w:szCs w:val="24"/>
              </w:rPr>
              <w:fldChar w:fldCharType="end"/>
            </w:r>
          </w:p>
        </w:sdtContent>
      </w:sdt>
    </w:sdtContent>
  </w:sdt>
  <w:p w:rsidR="00E13A27" w:rsidRPr="00850BB0" w:rsidRDefault="00E13A27" w:rsidP="002F6258">
    <w:pPr>
      <w:pStyle w:val="Footer"/>
      <w:tabs>
        <w:tab w:val="clear" w:pos="4536"/>
        <w:tab w:val="clear" w:pos="9072"/>
      </w:tabs>
      <w:jc w:val="center"/>
      <w:rPr>
        <w:rFonts w:ascii="Arial Rounded MT Bold" w:hAnsi="Arial Rounded MT Bold"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27" w:rsidRDefault="00E13A27">
      <w:r>
        <w:separator/>
      </w:r>
    </w:p>
  </w:footnote>
  <w:footnote w:type="continuationSeparator" w:id="0">
    <w:p w:rsidR="00E13A27" w:rsidRDefault="00E13A27">
      <w:r>
        <w:continuationSeparator/>
      </w:r>
    </w:p>
  </w:footnote>
  <w:footnote w:id="1">
    <w:p w:rsidR="00E13A27" w:rsidRDefault="00E13A27" w:rsidP="0043739E">
      <w:pPr>
        <w:pStyle w:val="FootnoteText"/>
      </w:pPr>
      <w:r>
        <w:rPr>
          <w:rStyle w:val="FootnoteReference"/>
        </w:rPr>
        <w:footnoteRef/>
      </w:r>
      <w:r>
        <w:t xml:space="preserve"> Se om dette Humlen/Myhre ”Advokatforeningens aksjons- og prosedyregruppei utlendingsrett – erfaringer etter 4 års drift.” i Juss-Buss og Olaf Halvorsen Rønning (red.) ”Med loven mot makta. Juss-Buss førti år”, Novus 2011. </w:t>
      </w:r>
    </w:p>
  </w:footnote>
  <w:footnote w:id="2">
    <w:p w:rsidR="00E13A27" w:rsidRDefault="00E13A27" w:rsidP="0043739E">
      <w:pPr>
        <w:pStyle w:val="FootnoteText"/>
        <w:spacing w:after="0"/>
      </w:pPr>
      <w:r>
        <w:rPr>
          <w:rStyle w:val="FootnoteReference"/>
        </w:rPr>
        <w:footnoteRef/>
      </w:r>
      <w:r>
        <w:t xml:space="preserve"> Jf rettshjelpsloven § 11 første og annet ledd, og § 16 første og annet ledd.</w:t>
      </w:r>
    </w:p>
  </w:footnote>
  <w:footnote w:id="3">
    <w:p w:rsidR="00E13A27" w:rsidRDefault="00E13A27" w:rsidP="0043739E">
      <w:pPr>
        <w:pStyle w:val="FootnoteText"/>
        <w:spacing w:after="0"/>
      </w:pPr>
      <w:r>
        <w:rPr>
          <w:rStyle w:val="FootnoteReference"/>
        </w:rPr>
        <w:footnoteRef/>
      </w:r>
      <w:r>
        <w:t xml:space="preserve"> Jf rettshjelpsloven § 11 tredje ledd og § 16 tredje ledd</w:t>
      </w:r>
    </w:p>
  </w:footnote>
  <w:footnote w:id="4">
    <w:p w:rsidR="00E13A27" w:rsidRDefault="00E13A27" w:rsidP="0043739E">
      <w:pPr>
        <w:pStyle w:val="FootnoteText"/>
        <w:spacing w:after="0"/>
      </w:pPr>
      <w:r>
        <w:rPr>
          <w:rStyle w:val="FootnoteReference"/>
        </w:rPr>
        <w:footnoteRef/>
      </w:r>
      <w:r>
        <w:t xml:space="preserve"> Jf rettshjelpsloven § 12 første ledd.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7" w:rsidRDefault="00E13A27" w:rsidP="002F6258">
    <w:r>
      <w:rPr>
        <w:noProof/>
      </w:rPr>
      <w:drawing>
        <wp:anchor distT="0" distB="0" distL="114300" distR="114300" simplePos="0" relativeHeight="251657728" behindDoc="1" locked="0" layoutInCell="1" allowOverlap="1">
          <wp:simplePos x="0" y="0"/>
          <wp:positionH relativeFrom="column">
            <wp:posOffset>-17145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1"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Style w:val="TableGrid"/>
      <w:tblW w:w="0" w:type="auto"/>
      <w:tblLook w:val="01E0"/>
    </w:tblPr>
    <w:tblGrid>
      <w:gridCol w:w="2938"/>
      <w:gridCol w:w="2689"/>
      <w:gridCol w:w="4479"/>
    </w:tblGrid>
    <w:tr w:rsidR="00E13A27">
      <w:trPr>
        <w:trHeight w:val="516"/>
      </w:trPr>
      <w:tc>
        <w:tcPr>
          <w:tcW w:w="2938" w:type="dxa"/>
          <w:tcBorders>
            <w:top w:val="nil"/>
            <w:left w:val="nil"/>
            <w:bottom w:val="single" w:sz="4" w:space="0" w:color="auto"/>
            <w:right w:val="nil"/>
          </w:tcBorders>
        </w:tcPr>
        <w:p w:rsidR="00E13A27" w:rsidRDefault="00E13A27" w:rsidP="002F6258">
          <w:pPr>
            <w:pStyle w:val="Header"/>
          </w:pPr>
        </w:p>
        <w:p w:rsidR="00E13A27" w:rsidRDefault="00E13A27" w:rsidP="002F6258">
          <w:pPr>
            <w:pStyle w:val="Header"/>
          </w:pPr>
        </w:p>
        <w:p w:rsidR="00E13A27" w:rsidRDefault="00E13A27" w:rsidP="002F6258">
          <w:pPr>
            <w:pStyle w:val="Header"/>
          </w:pPr>
        </w:p>
        <w:p w:rsidR="00E13A27" w:rsidRDefault="00E13A27" w:rsidP="002F6258">
          <w:pPr>
            <w:pStyle w:val="Header"/>
          </w:pPr>
        </w:p>
        <w:p w:rsidR="00E13A27" w:rsidRDefault="00E13A27" w:rsidP="002F6258">
          <w:pPr>
            <w:pStyle w:val="Header"/>
          </w:pPr>
        </w:p>
      </w:tc>
      <w:tc>
        <w:tcPr>
          <w:tcW w:w="2689" w:type="dxa"/>
          <w:tcBorders>
            <w:top w:val="nil"/>
            <w:left w:val="nil"/>
            <w:bottom w:val="single" w:sz="4" w:space="0" w:color="auto"/>
            <w:right w:val="nil"/>
          </w:tcBorders>
        </w:tcPr>
        <w:p w:rsidR="00E13A27" w:rsidRDefault="00E13A27" w:rsidP="002F6258">
          <w:pPr>
            <w:pStyle w:val="Header"/>
          </w:pPr>
        </w:p>
      </w:tc>
      <w:tc>
        <w:tcPr>
          <w:tcW w:w="4479" w:type="dxa"/>
          <w:tcBorders>
            <w:top w:val="nil"/>
            <w:left w:val="nil"/>
            <w:bottom w:val="single" w:sz="4" w:space="0" w:color="auto"/>
            <w:right w:val="nil"/>
          </w:tcBorders>
        </w:tcPr>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14"/>
            <w:gridCol w:w="2124"/>
          </w:tblGrid>
          <w:tr w:rsidR="00E13A27">
            <w:tc>
              <w:tcPr>
                <w:tcW w:w="1514" w:type="dxa"/>
              </w:tcPr>
              <w:p w:rsidR="00E13A27" w:rsidRDefault="00E13A27" w:rsidP="002F6258">
                <w:pPr>
                  <w:pStyle w:val="Header"/>
                  <w:tabs>
                    <w:tab w:val="left" w:pos="77"/>
                  </w:tabs>
                  <w:ind w:right="147"/>
                  <w:rPr>
                    <w:noProof/>
                    <w:lang w:val="en-US" w:eastAsia="en-US"/>
                  </w:rPr>
                </w:pPr>
                <w:r>
                  <w:t>Arbins gate 7 0253 Oslo</w:t>
                </w:r>
              </w:p>
            </w:tc>
            <w:tc>
              <w:tcPr>
                <w:tcW w:w="2124" w:type="dxa"/>
              </w:tcPr>
              <w:p w:rsidR="00E13A27" w:rsidRDefault="00E13A27" w:rsidP="002F6258">
                <w:pPr>
                  <w:pStyle w:val="Header"/>
                  <w:jc w:val="right"/>
                  <w:rPr>
                    <w:noProof/>
                    <w:lang w:val="en-US" w:eastAsia="en-US"/>
                  </w:rPr>
                </w:pPr>
              </w:p>
            </w:tc>
          </w:tr>
          <w:tr w:rsidR="00E13A27">
            <w:tc>
              <w:tcPr>
                <w:tcW w:w="1514" w:type="dxa"/>
              </w:tcPr>
              <w:p w:rsidR="00E13A27" w:rsidRDefault="00E13A27" w:rsidP="002F6258">
                <w:pPr>
                  <w:pStyle w:val="BodyText"/>
                  <w:tabs>
                    <w:tab w:val="left" w:pos="77"/>
                  </w:tabs>
                  <w:jc w:val="left"/>
                </w:pPr>
                <w:r>
                  <w:t>Sentralbord</w:t>
                </w:r>
              </w:p>
            </w:tc>
            <w:tc>
              <w:tcPr>
                <w:tcW w:w="2124" w:type="dxa"/>
              </w:tcPr>
              <w:p w:rsidR="00E13A27" w:rsidRDefault="00E13A27" w:rsidP="002F6258">
                <w:pPr>
                  <w:pStyle w:val="BodyText"/>
                </w:pPr>
                <w:r>
                  <w:t>22 84 29 00</w:t>
                </w:r>
              </w:p>
            </w:tc>
          </w:tr>
          <w:tr w:rsidR="00E13A27">
            <w:tc>
              <w:tcPr>
                <w:tcW w:w="1514" w:type="dxa"/>
              </w:tcPr>
              <w:p w:rsidR="00E13A27" w:rsidRDefault="00E13A27" w:rsidP="002F6258">
                <w:pPr>
                  <w:pStyle w:val="BodyText"/>
                  <w:tabs>
                    <w:tab w:val="left" w:pos="77"/>
                  </w:tabs>
                  <w:jc w:val="left"/>
                </w:pPr>
                <w:r>
                  <w:t>Telefaks</w:t>
                </w:r>
              </w:p>
            </w:tc>
            <w:tc>
              <w:tcPr>
                <w:tcW w:w="2124" w:type="dxa"/>
              </w:tcPr>
              <w:p w:rsidR="00E13A27" w:rsidRDefault="00E13A27" w:rsidP="002F6258">
                <w:pPr>
                  <w:pStyle w:val="BodyText"/>
                </w:pPr>
                <w:r>
                  <w:t>22 84 29 01</w:t>
                </w:r>
              </w:p>
            </w:tc>
          </w:tr>
          <w:tr w:rsidR="00E13A27" w:rsidRPr="00D542D4">
            <w:tc>
              <w:tcPr>
                <w:tcW w:w="1514" w:type="dxa"/>
              </w:tcPr>
              <w:p w:rsidR="00E13A27" w:rsidRDefault="00E13A27" w:rsidP="002F6258">
                <w:pPr>
                  <w:pStyle w:val="BodyText"/>
                  <w:tabs>
                    <w:tab w:val="left" w:pos="77"/>
                  </w:tabs>
                  <w:jc w:val="left"/>
                </w:pPr>
                <w:r>
                  <w:t>Internett</w:t>
                </w:r>
              </w:p>
            </w:tc>
            <w:tc>
              <w:tcPr>
                <w:tcW w:w="2124" w:type="dxa"/>
              </w:tcPr>
              <w:p w:rsidR="00E13A27" w:rsidRDefault="00E13A27" w:rsidP="002F6258">
                <w:pPr>
                  <w:pStyle w:val="BodyText"/>
                </w:pPr>
                <w:r>
                  <w:t>http://www.jussbuss.no</w:t>
                </w:r>
              </w:p>
            </w:tc>
          </w:tr>
        </w:tbl>
        <w:p w:rsidR="00E13A27" w:rsidRPr="00D542D4" w:rsidRDefault="00E13A27" w:rsidP="002F6258">
          <w:pPr>
            <w:pStyle w:val="Header"/>
            <w:jc w:val="right"/>
            <w:rPr>
              <w:noProof/>
              <w:lang w:eastAsia="en-US"/>
            </w:rPr>
          </w:pPr>
        </w:p>
      </w:tc>
    </w:tr>
    <w:tr w:rsidR="00E13A27">
      <w:tc>
        <w:tcPr>
          <w:tcW w:w="2938" w:type="dxa"/>
          <w:tcBorders>
            <w:top w:val="single" w:sz="4" w:space="0" w:color="auto"/>
            <w:left w:val="nil"/>
            <w:bottom w:val="nil"/>
            <w:right w:val="nil"/>
          </w:tcBorders>
        </w:tcPr>
        <w:p w:rsidR="00E13A27" w:rsidRDefault="00E13A27" w:rsidP="002F6258">
          <w:pPr>
            <w:pStyle w:val="BodyText"/>
            <w:jc w:val="left"/>
          </w:pPr>
          <w:r>
            <w:t>Juss-studentenes rettsinformasjon</w:t>
          </w:r>
        </w:p>
      </w:tc>
      <w:tc>
        <w:tcPr>
          <w:tcW w:w="2689" w:type="dxa"/>
          <w:tcBorders>
            <w:top w:val="single" w:sz="4" w:space="0" w:color="auto"/>
            <w:left w:val="nil"/>
            <w:bottom w:val="nil"/>
            <w:right w:val="nil"/>
          </w:tcBorders>
        </w:tcPr>
        <w:p w:rsidR="00E13A27" w:rsidRDefault="00E13A27" w:rsidP="002F6258">
          <w:pPr>
            <w:pStyle w:val="BodyText"/>
            <w:jc w:val="left"/>
          </w:pPr>
        </w:p>
      </w:tc>
      <w:tc>
        <w:tcPr>
          <w:tcW w:w="4479" w:type="dxa"/>
          <w:tcBorders>
            <w:top w:val="single" w:sz="4" w:space="0" w:color="auto"/>
            <w:left w:val="nil"/>
            <w:bottom w:val="nil"/>
            <w:right w:val="nil"/>
          </w:tcBorders>
        </w:tcPr>
        <w:p w:rsidR="00E13A27" w:rsidRDefault="00E13A27" w:rsidP="002F6258">
          <w:pPr>
            <w:pStyle w:val="BodyText"/>
          </w:pPr>
        </w:p>
      </w:tc>
    </w:tr>
  </w:tbl>
  <w:p w:rsidR="00E13A27" w:rsidRDefault="00E13A27" w:rsidP="004415C3">
    <w:pPr>
      <w:pStyle w:val="Header"/>
      <w:ind w:firstLine="708"/>
    </w:pPr>
  </w:p>
  <w:p w:rsidR="00E13A27" w:rsidRPr="00D22A21" w:rsidRDefault="00E13A27" w:rsidP="004415C3">
    <w:pPr>
      <w:pStyle w:val="Header"/>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E7A"/>
    <w:multiLevelType w:val="hybridMultilevel"/>
    <w:tmpl w:val="91FE655C"/>
    <w:lvl w:ilvl="0" w:tplc="DE32D0DE">
      <w:start w:val="1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E0EDF"/>
    <w:multiLevelType w:val="hybridMultilevel"/>
    <w:tmpl w:val="72C09D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5645DC5"/>
    <w:multiLevelType w:val="hybridMultilevel"/>
    <w:tmpl w:val="3AA641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stylePaneFormatFilter w:val="3F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F6258"/>
    <w:rsid w:val="00012204"/>
    <w:rsid w:val="00016134"/>
    <w:rsid w:val="000651DF"/>
    <w:rsid w:val="000A2383"/>
    <w:rsid w:val="000B0F3B"/>
    <w:rsid w:val="000B4EEB"/>
    <w:rsid w:val="000C3246"/>
    <w:rsid w:val="000E45C6"/>
    <w:rsid w:val="00104295"/>
    <w:rsid w:val="001053BA"/>
    <w:rsid w:val="001058CC"/>
    <w:rsid w:val="00121C70"/>
    <w:rsid w:val="00126887"/>
    <w:rsid w:val="00150CA6"/>
    <w:rsid w:val="00166849"/>
    <w:rsid w:val="001815FF"/>
    <w:rsid w:val="001825A5"/>
    <w:rsid w:val="001900E5"/>
    <w:rsid w:val="00190D19"/>
    <w:rsid w:val="001B3689"/>
    <w:rsid w:val="001B4299"/>
    <w:rsid w:val="001E0619"/>
    <w:rsid w:val="001E1AFD"/>
    <w:rsid w:val="00204C1B"/>
    <w:rsid w:val="002131C2"/>
    <w:rsid w:val="00241135"/>
    <w:rsid w:val="002446B1"/>
    <w:rsid w:val="00247CD8"/>
    <w:rsid w:val="002523E0"/>
    <w:rsid w:val="00253A92"/>
    <w:rsid w:val="00254530"/>
    <w:rsid w:val="00254FEE"/>
    <w:rsid w:val="0027210B"/>
    <w:rsid w:val="00272BE1"/>
    <w:rsid w:val="0028018E"/>
    <w:rsid w:val="0029036A"/>
    <w:rsid w:val="002928F8"/>
    <w:rsid w:val="00293AC1"/>
    <w:rsid w:val="00296B3E"/>
    <w:rsid w:val="002A0C7D"/>
    <w:rsid w:val="002D2A95"/>
    <w:rsid w:val="002E3077"/>
    <w:rsid w:val="002F6258"/>
    <w:rsid w:val="002F7299"/>
    <w:rsid w:val="00375586"/>
    <w:rsid w:val="00380108"/>
    <w:rsid w:val="0039112E"/>
    <w:rsid w:val="003A5C59"/>
    <w:rsid w:val="003B6F0C"/>
    <w:rsid w:val="003C58C3"/>
    <w:rsid w:val="003F27D3"/>
    <w:rsid w:val="00400AEC"/>
    <w:rsid w:val="00404FCD"/>
    <w:rsid w:val="00407939"/>
    <w:rsid w:val="004276B2"/>
    <w:rsid w:val="00431A09"/>
    <w:rsid w:val="0043739E"/>
    <w:rsid w:val="004415C3"/>
    <w:rsid w:val="00446B03"/>
    <w:rsid w:val="00451517"/>
    <w:rsid w:val="00473E11"/>
    <w:rsid w:val="00490995"/>
    <w:rsid w:val="00491FF2"/>
    <w:rsid w:val="004A17B5"/>
    <w:rsid w:val="004A4AED"/>
    <w:rsid w:val="004B286C"/>
    <w:rsid w:val="004C011A"/>
    <w:rsid w:val="004D2256"/>
    <w:rsid w:val="00520FC8"/>
    <w:rsid w:val="00546CB7"/>
    <w:rsid w:val="00556BD4"/>
    <w:rsid w:val="005607D6"/>
    <w:rsid w:val="0056704F"/>
    <w:rsid w:val="00573DF4"/>
    <w:rsid w:val="00583F7F"/>
    <w:rsid w:val="005F5B78"/>
    <w:rsid w:val="0060183E"/>
    <w:rsid w:val="00632712"/>
    <w:rsid w:val="00634E41"/>
    <w:rsid w:val="00642AFB"/>
    <w:rsid w:val="00650E9C"/>
    <w:rsid w:val="00661D78"/>
    <w:rsid w:val="00670746"/>
    <w:rsid w:val="00672ED4"/>
    <w:rsid w:val="0068519B"/>
    <w:rsid w:val="0069098D"/>
    <w:rsid w:val="006B64E9"/>
    <w:rsid w:val="006D6BA1"/>
    <w:rsid w:val="006E43AB"/>
    <w:rsid w:val="007549FD"/>
    <w:rsid w:val="00770A63"/>
    <w:rsid w:val="007747EB"/>
    <w:rsid w:val="007B37DF"/>
    <w:rsid w:val="007B5483"/>
    <w:rsid w:val="007E1779"/>
    <w:rsid w:val="007F0088"/>
    <w:rsid w:val="00803141"/>
    <w:rsid w:val="00811D77"/>
    <w:rsid w:val="0083051A"/>
    <w:rsid w:val="00836694"/>
    <w:rsid w:val="00850BB0"/>
    <w:rsid w:val="008767B7"/>
    <w:rsid w:val="00886BC2"/>
    <w:rsid w:val="008909EA"/>
    <w:rsid w:val="008B4E81"/>
    <w:rsid w:val="008D1036"/>
    <w:rsid w:val="008D1D1D"/>
    <w:rsid w:val="00907F3E"/>
    <w:rsid w:val="00923151"/>
    <w:rsid w:val="00927190"/>
    <w:rsid w:val="009512C3"/>
    <w:rsid w:val="00961D35"/>
    <w:rsid w:val="00966182"/>
    <w:rsid w:val="0096794E"/>
    <w:rsid w:val="009A0707"/>
    <w:rsid w:val="009B059A"/>
    <w:rsid w:val="009C62F4"/>
    <w:rsid w:val="009E7FC8"/>
    <w:rsid w:val="009F0F38"/>
    <w:rsid w:val="009F0F52"/>
    <w:rsid w:val="009F5CE8"/>
    <w:rsid w:val="00A00FFA"/>
    <w:rsid w:val="00A17009"/>
    <w:rsid w:val="00A21165"/>
    <w:rsid w:val="00A26EDF"/>
    <w:rsid w:val="00A6257D"/>
    <w:rsid w:val="00A6534B"/>
    <w:rsid w:val="00A86D1F"/>
    <w:rsid w:val="00A97A17"/>
    <w:rsid w:val="00AB4F32"/>
    <w:rsid w:val="00AB7024"/>
    <w:rsid w:val="00AC72B7"/>
    <w:rsid w:val="00AD735D"/>
    <w:rsid w:val="00AF60C1"/>
    <w:rsid w:val="00AF6D7A"/>
    <w:rsid w:val="00B00AEC"/>
    <w:rsid w:val="00B124ED"/>
    <w:rsid w:val="00B610D2"/>
    <w:rsid w:val="00B9053D"/>
    <w:rsid w:val="00BA54E5"/>
    <w:rsid w:val="00BA6D94"/>
    <w:rsid w:val="00BA7146"/>
    <w:rsid w:val="00BA7DA8"/>
    <w:rsid w:val="00BB1FBB"/>
    <w:rsid w:val="00BC7450"/>
    <w:rsid w:val="00BD5872"/>
    <w:rsid w:val="00C6243C"/>
    <w:rsid w:val="00C7355B"/>
    <w:rsid w:val="00CB05E7"/>
    <w:rsid w:val="00CB0BBA"/>
    <w:rsid w:val="00CB0C27"/>
    <w:rsid w:val="00CB5363"/>
    <w:rsid w:val="00CC6FB0"/>
    <w:rsid w:val="00CF0EF2"/>
    <w:rsid w:val="00D0208D"/>
    <w:rsid w:val="00D16C1A"/>
    <w:rsid w:val="00D22F31"/>
    <w:rsid w:val="00D24BB2"/>
    <w:rsid w:val="00D32D65"/>
    <w:rsid w:val="00D370AF"/>
    <w:rsid w:val="00D50919"/>
    <w:rsid w:val="00D60636"/>
    <w:rsid w:val="00D61749"/>
    <w:rsid w:val="00D73F71"/>
    <w:rsid w:val="00D83CF7"/>
    <w:rsid w:val="00D85E15"/>
    <w:rsid w:val="00D87D97"/>
    <w:rsid w:val="00D94BDC"/>
    <w:rsid w:val="00DA7B9B"/>
    <w:rsid w:val="00DC010B"/>
    <w:rsid w:val="00DC23D9"/>
    <w:rsid w:val="00DC7301"/>
    <w:rsid w:val="00DD32F6"/>
    <w:rsid w:val="00DD7602"/>
    <w:rsid w:val="00DE38FF"/>
    <w:rsid w:val="00E13A27"/>
    <w:rsid w:val="00E924B5"/>
    <w:rsid w:val="00EA1B4F"/>
    <w:rsid w:val="00EB04DE"/>
    <w:rsid w:val="00ED2E76"/>
    <w:rsid w:val="00EF449A"/>
    <w:rsid w:val="00EF6B62"/>
    <w:rsid w:val="00F0428D"/>
    <w:rsid w:val="00F30E4D"/>
    <w:rsid w:val="00F36B91"/>
    <w:rsid w:val="00F424E3"/>
    <w:rsid w:val="00F46AAD"/>
    <w:rsid w:val="00F55A3D"/>
    <w:rsid w:val="00F7496A"/>
    <w:rsid w:val="00F77354"/>
    <w:rsid w:val="00F821C0"/>
    <w:rsid w:val="00F91BE2"/>
    <w:rsid w:val="00FA6DC4"/>
    <w:rsid w:val="00FB0B1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258"/>
    <w:rPr>
      <w:lang w:val="nb-NO" w:eastAsia="nb-NO"/>
    </w:rPr>
  </w:style>
  <w:style w:type="paragraph" w:styleId="Heading1">
    <w:name w:val="heading 1"/>
    <w:basedOn w:val="Normal"/>
    <w:next w:val="Normal"/>
    <w:qFormat/>
    <w:rsid w:val="00491FF2"/>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258"/>
    <w:pPr>
      <w:tabs>
        <w:tab w:val="center" w:pos="4536"/>
        <w:tab w:val="right" w:pos="9072"/>
      </w:tabs>
    </w:pPr>
  </w:style>
  <w:style w:type="paragraph" w:styleId="Footer">
    <w:name w:val="footer"/>
    <w:basedOn w:val="Normal"/>
    <w:link w:val="FooterChar"/>
    <w:uiPriority w:val="99"/>
    <w:rsid w:val="002F6258"/>
    <w:pPr>
      <w:tabs>
        <w:tab w:val="center" w:pos="4536"/>
        <w:tab w:val="right" w:pos="9072"/>
      </w:tabs>
    </w:pPr>
  </w:style>
  <w:style w:type="paragraph" w:styleId="BodyText">
    <w:name w:val="Body Text"/>
    <w:basedOn w:val="Normal"/>
    <w:rsid w:val="002F6258"/>
    <w:pPr>
      <w:jc w:val="right"/>
    </w:pPr>
  </w:style>
  <w:style w:type="character" w:styleId="PageNumber">
    <w:name w:val="page number"/>
    <w:basedOn w:val="DefaultParagraphFont"/>
    <w:rsid w:val="002F6258"/>
  </w:style>
  <w:style w:type="table" w:styleId="TableGrid">
    <w:name w:val="Table Grid"/>
    <w:basedOn w:val="TableNormal"/>
    <w:rsid w:val="002F6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58CC"/>
    <w:rPr>
      <w:color w:val="0000FF"/>
      <w:u w:val="single"/>
    </w:rPr>
  </w:style>
  <w:style w:type="character" w:customStyle="1" w:styleId="FooterChar">
    <w:name w:val="Footer Char"/>
    <w:basedOn w:val="DefaultParagraphFont"/>
    <w:link w:val="Footer"/>
    <w:uiPriority w:val="99"/>
    <w:rsid w:val="00D85E15"/>
    <w:rPr>
      <w:lang w:val="nb-NO" w:eastAsia="nb-NO"/>
    </w:rPr>
  </w:style>
  <w:style w:type="paragraph" w:styleId="ListParagraph">
    <w:name w:val="List Paragraph"/>
    <w:basedOn w:val="Normal"/>
    <w:uiPriority w:val="34"/>
    <w:qFormat/>
    <w:rsid w:val="00D85E15"/>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link w:val="DocumentMapChar"/>
    <w:rsid w:val="0043739E"/>
    <w:rPr>
      <w:rFonts w:ascii="Tahoma" w:hAnsi="Tahoma" w:cs="Tahoma"/>
      <w:sz w:val="16"/>
      <w:szCs w:val="16"/>
    </w:rPr>
  </w:style>
  <w:style w:type="character" w:customStyle="1" w:styleId="DocumentMapChar">
    <w:name w:val="Document Map Char"/>
    <w:basedOn w:val="DefaultParagraphFont"/>
    <w:link w:val="DocumentMap"/>
    <w:rsid w:val="0043739E"/>
    <w:rPr>
      <w:rFonts w:ascii="Tahoma" w:hAnsi="Tahoma" w:cs="Tahoma"/>
      <w:sz w:val="16"/>
      <w:szCs w:val="16"/>
      <w:lang w:val="nb-NO" w:eastAsia="nb-NO"/>
    </w:rPr>
  </w:style>
  <w:style w:type="paragraph" w:styleId="CommentText">
    <w:name w:val="annotation text"/>
    <w:basedOn w:val="Normal"/>
    <w:link w:val="CommentTextChar"/>
    <w:rsid w:val="0043739E"/>
  </w:style>
  <w:style w:type="character" w:customStyle="1" w:styleId="CommentTextChar">
    <w:name w:val="Comment Text Char"/>
    <w:basedOn w:val="DefaultParagraphFont"/>
    <w:link w:val="CommentText"/>
    <w:rsid w:val="0043739E"/>
    <w:rPr>
      <w:lang w:val="nb-NO" w:eastAsia="nb-NO"/>
    </w:rPr>
  </w:style>
  <w:style w:type="character" w:styleId="CommentReference">
    <w:name w:val="annotation reference"/>
    <w:basedOn w:val="DefaultParagraphFont"/>
    <w:uiPriority w:val="99"/>
    <w:unhideWhenUsed/>
    <w:rsid w:val="0043739E"/>
    <w:rPr>
      <w:sz w:val="16"/>
      <w:szCs w:val="16"/>
    </w:rPr>
  </w:style>
  <w:style w:type="paragraph" w:styleId="FootnoteText">
    <w:name w:val="footnote text"/>
    <w:basedOn w:val="Normal"/>
    <w:link w:val="FootnoteTextChar"/>
    <w:uiPriority w:val="99"/>
    <w:unhideWhenUsed/>
    <w:rsid w:val="0043739E"/>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43739E"/>
    <w:rPr>
      <w:rFonts w:ascii="Calibri" w:eastAsia="Calibri" w:hAnsi="Calibri"/>
      <w:lang w:val="nb-NO"/>
    </w:rPr>
  </w:style>
  <w:style w:type="character" w:styleId="FootnoteReference">
    <w:name w:val="footnote reference"/>
    <w:basedOn w:val="DefaultParagraphFont"/>
    <w:uiPriority w:val="99"/>
    <w:unhideWhenUsed/>
    <w:rsid w:val="0043739E"/>
    <w:rPr>
      <w:vertAlign w:val="superscript"/>
    </w:rPr>
  </w:style>
  <w:style w:type="paragraph" w:styleId="BalloonText">
    <w:name w:val="Balloon Text"/>
    <w:basedOn w:val="Normal"/>
    <w:link w:val="BalloonTextChar"/>
    <w:rsid w:val="0043739E"/>
    <w:rPr>
      <w:rFonts w:ascii="Tahoma" w:hAnsi="Tahoma" w:cs="Tahoma"/>
      <w:sz w:val="16"/>
      <w:szCs w:val="16"/>
    </w:rPr>
  </w:style>
  <w:style w:type="character" w:customStyle="1" w:styleId="BalloonTextChar">
    <w:name w:val="Balloon Text Char"/>
    <w:basedOn w:val="DefaultParagraphFont"/>
    <w:link w:val="BalloonText"/>
    <w:rsid w:val="0043739E"/>
    <w:rPr>
      <w:rFonts w:ascii="Tahoma" w:hAnsi="Tahoma" w:cs="Tahoma"/>
      <w:sz w:val="16"/>
      <w:szCs w:val="16"/>
      <w:lang w:val="nb-NO" w:eastAsia="nb-NO"/>
    </w:rPr>
  </w:style>
  <w:style w:type="character" w:customStyle="1" w:styleId="HeaderChar">
    <w:name w:val="Header Char"/>
    <w:basedOn w:val="DefaultParagraphFont"/>
    <w:link w:val="Header"/>
    <w:rsid w:val="002D2A95"/>
    <w:rPr>
      <w:lang w:val="nb-NO" w:eastAsia="nb-NO"/>
    </w:rPr>
  </w:style>
  <w:style w:type="paragraph" w:styleId="CommentSubject">
    <w:name w:val="annotation subject"/>
    <w:basedOn w:val="CommentText"/>
    <w:next w:val="CommentText"/>
    <w:link w:val="CommentSubjectChar"/>
    <w:rsid w:val="00293AC1"/>
    <w:rPr>
      <w:b/>
      <w:bCs/>
    </w:rPr>
  </w:style>
  <w:style w:type="character" w:customStyle="1" w:styleId="CommentSubjectChar">
    <w:name w:val="Comment Subject Char"/>
    <w:basedOn w:val="CommentTextChar"/>
    <w:link w:val="CommentSubject"/>
    <w:rsid w:val="00293AC1"/>
    <w:rPr>
      <w:b/>
      <w:bCs/>
    </w:rPr>
  </w:style>
  <w:style w:type="paragraph" w:styleId="Revision">
    <w:name w:val="Revision"/>
    <w:hidden/>
    <w:uiPriority w:val="99"/>
    <w:semiHidden/>
    <w:rsid w:val="008909EA"/>
    <w:rPr>
      <w:lang w:val="nb-NO"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7625-F9B9-4397-8D56-58F9938A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11265</Characters>
  <Application>Microsoft Office Word</Application>
  <DocSecurity>0</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Oslo, 8</vt:lpstr>
      <vt:lpstr>Oslo, 8</vt:lpstr>
    </vt:vector>
  </TitlesOfParts>
  <Company>UiO</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 8</dc:title>
  <dc:creator>buss</dc:creator>
  <cp:lastModifiedBy>larsmen</cp:lastModifiedBy>
  <cp:revision>2</cp:revision>
  <cp:lastPrinted>2011-12-01T16:04:00Z</cp:lastPrinted>
  <dcterms:created xsi:type="dcterms:W3CDTF">2011-12-09T10:12:00Z</dcterms:created>
  <dcterms:modified xsi:type="dcterms:W3CDTF">2011-12-09T10:12:00Z</dcterms:modified>
</cp:coreProperties>
</file>